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仿宋" w:hAnsi="仿宋" w:eastAsia="仿宋" w:cs="Times New Roman"/>
          <w:b/>
          <w:color w:val="000000"/>
          <w:w w:val="80"/>
          <w:sz w:val="72"/>
          <w:szCs w:val="72"/>
        </w:rPr>
      </w:pPr>
      <w:bookmarkStart w:id="0" w:name="_Hlk24613880"/>
    </w:p>
    <w:p>
      <w:pPr>
        <w:spacing w:line="276" w:lineRule="auto"/>
        <w:jc w:val="center"/>
        <w:rPr>
          <w:rFonts w:ascii="仿宋" w:hAnsi="仿宋" w:eastAsia="仿宋" w:cs="Times New Roman"/>
          <w:b/>
          <w:color w:val="000000"/>
          <w:w w:val="80"/>
          <w:sz w:val="72"/>
          <w:szCs w:val="72"/>
        </w:rPr>
      </w:pPr>
    </w:p>
    <w:p>
      <w:pPr>
        <w:spacing w:line="276" w:lineRule="auto"/>
        <w:jc w:val="center"/>
        <w:rPr>
          <w:rFonts w:hint="eastAsia" w:ascii="仿宋" w:hAnsi="仿宋" w:eastAsia="仿宋" w:cs="Times New Roman"/>
          <w:b/>
          <w:color w:val="000000"/>
          <w:w w:val="80"/>
          <w:sz w:val="72"/>
          <w:szCs w:val="72"/>
          <w:highlight w:val="none"/>
          <w:lang w:eastAsia="zh-CN"/>
        </w:rPr>
      </w:pPr>
      <w:r>
        <w:rPr>
          <w:rFonts w:hint="eastAsia" w:ascii="仿宋" w:hAnsi="仿宋" w:eastAsia="仿宋" w:cs="Times New Roman"/>
          <w:b/>
          <w:color w:val="000000"/>
          <w:w w:val="80"/>
          <w:sz w:val="72"/>
          <w:szCs w:val="72"/>
          <w:highlight w:val="none"/>
          <w:lang w:eastAsia="zh-CN"/>
        </w:rPr>
        <w:t>浙江益宏不锈钢有限公司</w:t>
      </w:r>
    </w:p>
    <w:p>
      <w:pPr>
        <w:spacing w:line="276" w:lineRule="auto"/>
        <w:jc w:val="center"/>
        <w:rPr>
          <w:rFonts w:ascii="宋体" w:hAnsi="宋体" w:eastAsia="宋体" w:cs="宋体"/>
          <w:b/>
          <w:sz w:val="52"/>
          <w:szCs w:val="52"/>
        </w:rPr>
      </w:pPr>
      <w:r>
        <w:rPr>
          <w:rFonts w:hint="eastAsia" w:ascii="宋体" w:hAnsi="宋体" w:eastAsia="宋体" w:cs="宋体"/>
          <w:b/>
          <w:sz w:val="52"/>
          <w:szCs w:val="52"/>
        </w:rPr>
        <w:t xml:space="preserve"> </w:t>
      </w:r>
    </w:p>
    <w:p>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社</w:t>
      </w:r>
    </w:p>
    <w:p>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会</w:t>
      </w:r>
    </w:p>
    <w:p>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责</w:t>
      </w:r>
    </w:p>
    <w:p>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任</w:t>
      </w:r>
    </w:p>
    <w:p>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报</w:t>
      </w:r>
    </w:p>
    <w:p>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告</w:t>
      </w:r>
    </w:p>
    <w:p>
      <w:pPr>
        <w:spacing w:line="276" w:lineRule="auto"/>
        <w:ind w:firstLine="3900" w:firstLineChars="750"/>
        <w:rPr>
          <w:rFonts w:ascii="宋体" w:hAnsi="宋体" w:eastAsia="宋体" w:cs="宋体"/>
          <w:sz w:val="52"/>
          <w:szCs w:val="52"/>
        </w:rPr>
      </w:pPr>
    </w:p>
    <w:p>
      <w:pPr>
        <w:spacing w:line="276" w:lineRule="auto"/>
        <w:ind w:firstLine="3900" w:firstLineChars="750"/>
        <w:rPr>
          <w:rFonts w:ascii="宋体" w:hAnsi="宋体" w:eastAsia="宋体" w:cs="宋体"/>
          <w:sz w:val="52"/>
          <w:szCs w:val="52"/>
        </w:rPr>
      </w:pPr>
    </w:p>
    <w:p>
      <w:pPr>
        <w:spacing w:before="40" w:after="40" w:line="276" w:lineRule="auto"/>
        <w:jc w:val="center"/>
        <w:rPr>
          <w:rFonts w:ascii="宋体" w:hAnsi="宋体" w:eastAsia="宋体" w:cs="宋体"/>
          <w:sz w:val="36"/>
          <w:szCs w:val="36"/>
          <w:highlight w:val="none"/>
        </w:rPr>
      </w:pPr>
      <w:r>
        <w:rPr>
          <w:rFonts w:hint="eastAsia" w:ascii="宋体" w:hAnsi="宋体" w:eastAsia="宋体" w:cs="宋体"/>
          <w:sz w:val="36"/>
          <w:szCs w:val="36"/>
        </w:rPr>
        <w:t>报告日期：</w:t>
      </w:r>
      <w:r>
        <w:rPr>
          <w:rFonts w:ascii="宋体" w:hAnsi="宋体" w:eastAsia="宋体" w:cs="宋体"/>
          <w:sz w:val="36"/>
          <w:szCs w:val="36"/>
          <w:highlight w:val="none"/>
        </w:rPr>
        <w:t>20</w:t>
      </w:r>
      <w:r>
        <w:rPr>
          <w:rFonts w:hint="eastAsia" w:ascii="宋体" w:hAnsi="宋体" w:eastAsia="宋体" w:cs="宋体"/>
          <w:sz w:val="36"/>
          <w:szCs w:val="36"/>
          <w:highlight w:val="none"/>
          <w:lang w:val="en-US" w:eastAsia="zh-CN"/>
        </w:rPr>
        <w:t>23</w:t>
      </w:r>
      <w:r>
        <w:rPr>
          <w:rFonts w:hint="eastAsia" w:ascii="宋体" w:hAnsi="宋体" w:eastAsia="宋体" w:cs="宋体"/>
          <w:sz w:val="36"/>
          <w:szCs w:val="36"/>
          <w:highlight w:val="none"/>
        </w:rPr>
        <w:t>年</w:t>
      </w:r>
      <w:r>
        <w:rPr>
          <w:rFonts w:hint="eastAsia" w:ascii="宋体" w:hAnsi="宋体" w:eastAsia="宋体" w:cs="宋体"/>
          <w:sz w:val="36"/>
          <w:szCs w:val="36"/>
          <w:highlight w:val="none"/>
          <w:lang w:val="en-US" w:eastAsia="zh-CN"/>
        </w:rPr>
        <w:t>12</w:t>
      </w:r>
      <w:r>
        <w:rPr>
          <w:rFonts w:hint="eastAsia" w:ascii="宋体" w:hAnsi="宋体" w:eastAsia="宋体" w:cs="宋体"/>
          <w:sz w:val="36"/>
          <w:szCs w:val="36"/>
          <w:highlight w:val="none"/>
        </w:rPr>
        <w:t>月</w:t>
      </w:r>
    </w:p>
    <w:bookmarkEnd w:id="0"/>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bookmarkStart w:id="1" w:name="_Hlk24613918"/>
    </w:p>
    <w:p>
      <w:pPr>
        <w:pStyle w:val="91"/>
        <w:ind w:firstLine="640"/>
      </w:pPr>
      <w:r>
        <w:rPr>
          <w:rFonts w:hint="eastAsia"/>
        </w:rPr>
        <w:t>关于本报告</w:t>
      </w:r>
    </w:p>
    <w:p>
      <w:pPr>
        <w:pStyle w:val="90"/>
      </w:pPr>
      <w:bookmarkStart w:id="2" w:name="_Toc493596484"/>
      <w:r>
        <w:rPr>
          <w:rFonts w:hint="eastAsia"/>
        </w:rPr>
        <w:t xml:space="preserve">1 </w:t>
      </w:r>
      <w:bookmarkEnd w:id="2"/>
      <w:r>
        <w:rPr>
          <w:rFonts w:hint="eastAsia"/>
        </w:rPr>
        <w:t>报告范围</w:t>
      </w:r>
    </w:p>
    <w:p>
      <w:pPr>
        <w:ind w:firstLine="420"/>
      </w:pPr>
      <w:r>
        <w:rPr>
          <w:rFonts w:hint="eastAsia"/>
        </w:rPr>
        <w:t>本报告以</w:t>
      </w:r>
      <w:r>
        <w:rPr>
          <w:rFonts w:hint="eastAsia"/>
          <w:highlight w:val="none"/>
          <w:lang w:eastAsia="zh-CN"/>
        </w:rPr>
        <w:t>浙江益宏不锈钢有限公司</w:t>
      </w:r>
      <w:r>
        <w:rPr>
          <w:rFonts w:hint="eastAsia"/>
          <w:highlight w:val="none"/>
        </w:rPr>
        <w:t>为</w:t>
      </w:r>
      <w:r>
        <w:rPr>
          <w:rFonts w:hint="eastAsia"/>
        </w:rPr>
        <w:t>主体，披露了20</w:t>
      </w:r>
      <w:r>
        <w:rPr>
          <w:rFonts w:hint="eastAsia"/>
          <w:lang w:val="en-US" w:eastAsia="zh-CN"/>
        </w:rPr>
        <w:t>22</w:t>
      </w:r>
      <w:r>
        <w:rPr>
          <w:rFonts w:hint="eastAsia"/>
        </w:rPr>
        <w:t>年企业履行政治、经济、社会和生态责任方面的内容。</w:t>
      </w:r>
    </w:p>
    <w:p>
      <w:pPr>
        <w:pStyle w:val="90"/>
        <w:rPr>
          <w:highlight w:val="none"/>
        </w:rPr>
      </w:pPr>
      <w:r>
        <w:rPr>
          <w:rFonts w:hint="eastAsia"/>
        </w:rPr>
        <w:t>2 称谓说明</w:t>
      </w:r>
    </w:p>
    <w:p>
      <w:pPr>
        <w:ind w:firstLine="420"/>
        <w:rPr>
          <w:highlight w:val="none"/>
        </w:rPr>
      </w:pPr>
      <w:r>
        <w:rPr>
          <w:rFonts w:hint="eastAsia"/>
          <w:highlight w:val="none"/>
        </w:rPr>
        <w:t>为表述方便，报告把“</w:t>
      </w:r>
      <w:r>
        <w:rPr>
          <w:rFonts w:hint="eastAsia"/>
          <w:highlight w:val="none"/>
          <w:lang w:eastAsia="zh-CN"/>
        </w:rPr>
        <w:t>浙江益宏不锈钢有限公司</w:t>
      </w:r>
      <w:r>
        <w:rPr>
          <w:rFonts w:hint="eastAsia"/>
          <w:highlight w:val="none"/>
        </w:rPr>
        <w:t>”简称为“</w:t>
      </w:r>
      <w:r>
        <w:rPr>
          <w:rFonts w:hint="eastAsia"/>
          <w:highlight w:val="none"/>
          <w:lang w:eastAsia="zh-CN"/>
        </w:rPr>
        <w:t>益宏</w:t>
      </w:r>
      <w:r>
        <w:rPr>
          <w:rFonts w:hint="eastAsia"/>
          <w:highlight w:val="none"/>
        </w:rPr>
        <w:t>”。</w:t>
      </w:r>
    </w:p>
    <w:p>
      <w:pPr>
        <w:pStyle w:val="90"/>
        <w:rPr>
          <w:highlight w:val="none"/>
        </w:rPr>
      </w:pPr>
      <w:bookmarkStart w:id="3" w:name="_Toc493596487"/>
      <w:r>
        <w:rPr>
          <w:rFonts w:hint="eastAsia"/>
          <w:highlight w:val="none"/>
        </w:rPr>
        <w:t>3 报告时间</w:t>
      </w:r>
      <w:bookmarkEnd w:id="3"/>
      <w:r>
        <w:rPr>
          <w:rFonts w:hint="eastAsia"/>
          <w:highlight w:val="none"/>
        </w:rPr>
        <w:t>和频次</w:t>
      </w:r>
    </w:p>
    <w:p>
      <w:pPr>
        <w:ind w:firstLine="420"/>
      </w:pPr>
      <w:r>
        <w:rPr>
          <w:rFonts w:hint="eastAsia"/>
          <w:highlight w:val="none"/>
        </w:rPr>
        <w:t>20</w:t>
      </w:r>
      <w:r>
        <w:rPr>
          <w:rFonts w:hint="eastAsia"/>
          <w:highlight w:val="none"/>
          <w:lang w:val="en-US" w:eastAsia="zh-CN"/>
        </w:rPr>
        <w:t>22</w:t>
      </w:r>
      <w:r>
        <w:rPr>
          <w:rFonts w:hint="eastAsia"/>
          <w:highlight w:val="none"/>
        </w:rPr>
        <w:t>年</w:t>
      </w:r>
      <w:r>
        <w:rPr>
          <w:rFonts w:hint="eastAsia"/>
          <w:highlight w:val="none"/>
          <w:lang w:val="en-US" w:eastAsia="zh-CN"/>
        </w:rPr>
        <w:t>10</w:t>
      </w:r>
      <w:r>
        <w:rPr>
          <w:rFonts w:hint="eastAsia"/>
          <w:highlight w:val="none"/>
        </w:rPr>
        <w:t>月</w:t>
      </w:r>
      <w:r>
        <w:rPr>
          <w:highlight w:val="none"/>
        </w:rPr>
        <w:t>30</w:t>
      </w:r>
      <w:r>
        <w:rPr>
          <w:rFonts w:hint="eastAsia"/>
          <w:highlight w:val="none"/>
        </w:rPr>
        <w:t>日至20</w:t>
      </w:r>
      <w:r>
        <w:rPr>
          <w:rFonts w:hint="eastAsia"/>
          <w:highlight w:val="none"/>
          <w:lang w:val="en-US" w:eastAsia="zh-CN"/>
        </w:rPr>
        <w:t>23</w:t>
      </w:r>
      <w:r>
        <w:rPr>
          <w:rFonts w:hint="eastAsia"/>
          <w:highlight w:val="none"/>
        </w:rPr>
        <w:t>年</w:t>
      </w:r>
      <w:r>
        <w:rPr>
          <w:rFonts w:hint="eastAsia"/>
          <w:highlight w:val="none"/>
          <w:lang w:val="en-US" w:eastAsia="zh-CN"/>
        </w:rPr>
        <w:t>11</w:t>
      </w:r>
      <w:r>
        <w:rPr>
          <w:rFonts w:hint="eastAsia"/>
          <w:highlight w:val="none"/>
        </w:rPr>
        <w:t>月01日，</w:t>
      </w:r>
      <w:r>
        <w:rPr>
          <w:rFonts w:hint="eastAsia"/>
        </w:rPr>
        <w:t>部分数据及内容超出上述范围。</w:t>
      </w:r>
    </w:p>
    <w:p>
      <w:pPr>
        <w:ind w:firstLine="420"/>
      </w:pPr>
      <w:r>
        <w:rPr>
          <w:rFonts w:hint="eastAsia"/>
        </w:rPr>
        <w:t>本报告为年度报告。</w:t>
      </w:r>
    </w:p>
    <w:p>
      <w:pPr>
        <w:pStyle w:val="90"/>
      </w:pPr>
      <w:bookmarkStart w:id="4" w:name="_Toc493596490"/>
      <w:r>
        <w:rPr>
          <w:rFonts w:hint="eastAsia"/>
        </w:rPr>
        <w:t>4 报告</w:t>
      </w:r>
      <w:bookmarkEnd w:id="4"/>
      <w:r>
        <w:rPr>
          <w:rFonts w:hint="eastAsia"/>
        </w:rPr>
        <w:t>发布形式</w:t>
      </w:r>
    </w:p>
    <w:p>
      <w:pPr>
        <w:ind w:firstLine="420"/>
      </w:pPr>
      <w:r>
        <w:rPr>
          <w:rFonts w:hint="eastAsia"/>
        </w:rPr>
        <w:t>本报告以电子文档形式</w:t>
      </w:r>
      <w:r>
        <w:rPr>
          <w:rFonts w:hint="eastAsia"/>
          <w:highlight w:val="none"/>
        </w:rPr>
        <w:t>发布，其中电子文档可在</w:t>
      </w:r>
      <w:r>
        <w:rPr>
          <w:rFonts w:hint="eastAsia"/>
          <w:highlight w:val="none"/>
          <w:lang w:eastAsia="zh-CN"/>
        </w:rPr>
        <w:t>浙江益宏不锈钢有限公司</w:t>
      </w:r>
      <w:r>
        <w:rPr>
          <w:rFonts w:hint="eastAsia"/>
          <w:highlight w:val="none"/>
        </w:rPr>
        <w:t>网站（</w:t>
      </w:r>
      <w:r>
        <w:rPr>
          <w:rFonts w:hint="eastAsia"/>
          <w:highlight w:val="none"/>
          <w:lang w:eastAsia="zh-CN"/>
        </w:rPr>
        <w:t>http://www.yhbxgg.com/</w:t>
      </w:r>
      <w:r>
        <w:rPr>
          <w:rFonts w:hint="eastAsia"/>
          <w:highlight w:val="none"/>
        </w:rPr>
        <w:t>）下载阅读。</w:t>
      </w:r>
    </w:p>
    <w:p>
      <w:pPr>
        <w:ind w:firstLine="420"/>
      </w:pPr>
    </w:p>
    <w:bookmarkEnd w:id="1"/>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pStyle w:val="51"/>
        <w:numPr>
          <w:ilvl w:val="0"/>
          <w:numId w:val="1"/>
        </w:numPr>
        <w:spacing w:before="156" w:beforeLines="50" w:after="156" w:afterLines="50" w:line="360" w:lineRule="auto"/>
        <w:ind w:firstLineChars="0"/>
        <w:outlineLvl w:val="0"/>
        <w:rPr>
          <w:rFonts w:asciiTheme="majorEastAsia" w:hAnsiTheme="majorEastAsia" w:eastAsiaTheme="majorEastAsia"/>
          <w:b/>
          <w:color w:val="000000" w:themeColor="text1"/>
          <w:sz w:val="28"/>
          <w:szCs w:val="24"/>
          <w14:textFill>
            <w14:solidFill>
              <w14:schemeClr w14:val="tx1"/>
            </w14:solidFill>
          </w14:textFill>
        </w:rPr>
      </w:pPr>
      <w:bookmarkStart w:id="5" w:name="_Toc451610891"/>
      <w:bookmarkStart w:id="6" w:name="_Toc451610984"/>
      <w:r>
        <w:rPr>
          <w:rFonts w:hint="eastAsia" w:asciiTheme="majorEastAsia" w:hAnsiTheme="majorEastAsia" w:eastAsiaTheme="majorEastAsia"/>
          <w:b/>
          <w:color w:val="000000" w:themeColor="text1"/>
          <w:sz w:val="28"/>
          <w:szCs w:val="24"/>
          <w:highlight w:val="none"/>
          <w:lang w:eastAsia="zh-CN"/>
          <w14:textFill>
            <w14:solidFill>
              <w14:schemeClr w14:val="tx1"/>
            </w14:solidFill>
          </w14:textFill>
        </w:rPr>
        <w:t>浙江益宏不锈钢有限公司</w:t>
      </w:r>
      <w:r>
        <w:rPr>
          <w:rFonts w:asciiTheme="majorEastAsia" w:hAnsiTheme="majorEastAsia" w:eastAsiaTheme="majorEastAsia"/>
          <w:b/>
          <w:color w:val="000000" w:themeColor="text1"/>
          <w:sz w:val="28"/>
          <w:szCs w:val="24"/>
          <w:highlight w:val="none"/>
          <w14:textFill>
            <w14:solidFill>
              <w14:schemeClr w14:val="tx1"/>
            </w14:solidFill>
          </w14:textFill>
        </w:rPr>
        <w:t>简</w:t>
      </w:r>
      <w:r>
        <w:rPr>
          <w:rFonts w:asciiTheme="majorEastAsia" w:hAnsiTheme="majorEastAsia" w:eastAsiaTheme="majorEastAsia"/>
          <w:b/>
          <w:color w:val="000000" w:themeColor="text1"/>
          <w:sz w:val="28"/>
          <w:szCs w:val="24"/>
          <w14:textFill>
            <w14:solidFill>
              <w14:schemeClr w14:val="tx1"/>
            </w14:solidFill>
          </w14:textFill>
        </w:rPr>
        <w:t>介</w:t>
      </w:r>
      <w:r>
        <w:rPr>
          <w:rFonts w:hint="eastAsia" w:asciiTheme="majorEastAsia" w:hAnsiTheme="majorEastAsia" w:eastAsiaTheme="majorEastAsia"/>
          <w:b/>
          <w:color w:val="000000" w:themeColor="text1"/>
          <w:sz w:val="28"/>
          <w:szCs w:val="24"/>
          <w14:textFill>
            <w14:solidFill>
              <w14:schemeClr w14:val="tx1"/>
            </w14:solidFill>
          </w14:textFill>
        </w:rPr>
        <w:t>和企业文化</w:t>
      </w:r>
    </w:p>
    <w:p>
      <w:pPr>
        <w:pStyle w:val="51"/>
        <w:spacing w:before="156" w:beforeLines="50" w:after="156" w:afterLines="50" w:line="360" w:lineRule="auto"/>
        <w:ind w:firstLine="0" w:firstLineChars="0"/>
        <w:outlineLvl w:val="0"/>
        <w:rPr>
          <w:rFonts w:asciiTheme="majorEastAsia" w:hAnsiTheme="majorEastAsia" w:eastAsiaTheme="majorEastAsia"/>
          <w:b/>
          <w:color w:val="000000" w:themeColor="text1"/>
          <w:sz w:val="28"/>
          <w:szCs w:val="24"/>
          <w14:textFill>
            <w14:solidFill>
              <w14:schemeClr w14:val="tx1"/>
            </w14:solidFill>
          </w14:textFill>
        </w:rPr>
      </w:pPr>
      <w:r>
        <w:rPr>
          <w:rFonts w:hint="eastAsia" w:asciiTheme="majorEastAsia" w:hAnsiTheme="majorEastAsia" w:eastAsiaTheme="majorEastAsia"/>
          <w:b/>
          <w:color w:val="000000" w:themeColor="text1"/>
          <w:sz w:val="28"/>
          <w:szCs w:val="24"/>
          <w14:textFill>
            <w14:solidFill>
              <w14:schemeClr w14:val="tx1"/>
            </w14:solidFill>
          </w14:textFill>
        </w:rPr>
        <w:t>1.公司简介</w:t>
      </w:r>
    </w:p>
    <w:p>
      <w:pPr>
        <w:pStyle w:val="19"/>
        <w:spacing w:line="240" w:lineRule="auto"/>
        <w:ind w:firstLineChars="0"/>
        <w:jc w:val="center"/>
        <w:rPr>
          <w:rFonts w:ascii="宋体" w:hAnsi="宋体" w:eastAsia="宋体"/>
          <w:b/>
          <w:bCs/>
          <w:szCs w:val="24"/>
        </w:rPr>
      </w:pPr>
      <w:r>
        <w:rPr>
          <w:rFonts w:hint="eastAsia" w:ascii="宋体" w:hAnsi="宋体"/>
          <w:b/>
          <w:bCs/>
          <w:sz w:val="40"/>
          <w:szCs w:val="40"/>
        </w:rPr>
        <w:t>公司简介</w:t>
      </w:r>
    </w:p>
    <w:p>
      <w:pPr>
        <w:pStyle w:val="19"/>
        <w:spacing w:line="240" w:lineRule="auto"/>
        <w:ind w:firstLineChars="0"/>
        <w:jc w:val="left"/>
        <w:rPr>
          <w:rFonts w:ascii="宋体" w:hAnsi="宋体"/>
          <w:b/>
          <w:bCs/>
          <w:szCs w:val="24"/>
        </w:rPr>
      </w:pPr>
    </w:p>
    <w:p>
      <w:pPr>
        <w:spacing w:line="360" w:lineRule="auto"/>
        <w:ind w:firstLine="480" w:firstLineChars="200"/>
        <w:rPr>
          <w:rFonts w:hint="eastAsia" w:ascii="宋体" w:hAnsi="宋体"/>
          <w:sz w:val="24"/>
          <w:szCs w:val="24"/>
        </w:rPr>
      </w:pPr>
      <w:r>
        <w:rPr>
          <w:rFonts w:hint="eastAsia" w:ascii="宋体" w:hAnsi="宋体"/>
          <w:sz w:val="24"/>
          <w:szCs w:val="24"/>
        </w:rPr>
        <w:t>浙江益宏不锈钢有限公司，为专业研发、生产、加工、销售不锈钢无缝管的综合型企业，拥有松阳研发和温州营销中心,为国家高新技术企业、浙江省科技型中小企业、丽水市绿色制造企业，现有员工110多人,其中各类专业技术人员20余人，年产量超万吨。</w:t>
      </w:r>
    </w:p>
    <w:p>
      <w:pPr>
        <w:spacing w:line="360" w:lineRule="auto"/>
        <w:ind w:firstLine="480" w:firstLineChars="200"/>
        <w:rPr>
          <w:rFonts w:hint="eastAsia" w:ascii="宋体" w:hAnsi="宋体"/>
          <w:sz w:val="24"/>
          <w:szCs w:val="24"/>
        </w:rPr>
      </w:pPr>
      <w:r>
        <w:rPr>
          <w:rFonts w:hint="eastAsia" w:ascii="宋体" w:hAnsi="宋体"/>
          <w:sz w:val="24"/>
          <w:szCs w:val="24"/>
        </w:rPr>
        <w:t>公司严格按ISO9001：2015《质量管理体系—要求》和TSG 07—2019《特种设备生产和充装单位许可规则》，建立完善的质量管理体系，全面推进“6S”、 “环境管理”、“职业健康管理”、“精益生产”现场管理等，拥有国内较大的12000KN液压冷拔机组和先进的全温控不锈钢固溶退火炉等生产设备，同时具有ET16-159涡流探伤仪、UT16-159超声波探伤仪、UT159-820超声波探伤仪、D630全自动水压试验机、WAD—600液压万能材料试验机、4XB电脑金相显微镜、JQ—300冲击试验机、HBRVU—187.5硬度计、XLT—898光谱仪、化学分析仪、晶间腐蚀试验等完善的检测设备。可生产规格为：外径Φ14～Φ720mm、壁厚1～60mm；主要牌号为：304/L/H、316/L/H、321/H、347/H、317/L、310S、904L、2205等；产品执行GB、ASTM、ASME、DIN、EN、GOST、JIS、PED、船泊入级等，广泛应用于石化、化肥、核电、锅炉、舰船、环保、航空、造纸、食品及医疗等领域。为较早通过国家级特种设备制造许可证（A、B级压力管道元件，编号 TS2710L54—2026）企业。</w:t>
      </w:r>
    </w:p>
    <w:p>
      <w:pPr>
        <w:spacing w:line="360" w:lineRule="auto"/>
        <w:ind w:firstLine="480" w:firstLineChars="200"/>
        <w:rPr>
          <w:rFonts w:hint="eastAsia" w:ascii="宋体" w:hAnsi="宋体"/>
          <w:sz w:val="24"/>
          <w:szCs w:val="24"/>
        </w:rPr>
      </w:pPr>
      <w:r>
        <w:rPr>
          <w:rFonts w:hint="eastAsia" w:ascii="宋体" w:hAnsi="宋体"/>
          <w:sz w:val="24"/>
          <w:szCs w:val="24"/>
        </w:rPr>
        <w:t>公司以310S耐高温、抗氧化钢管和工业管道用不锈钢无缝管为主导，尤其310S耐高温钢管，本公司具有独到的生产技术，为温州地区首家研发，至今在该领域仍占据相当大的份额。</w:t>
      </w:r>
    </w:p>
    <w:p>
      <w:pPr>
        <w:spacing w:line="360" w:lineRule="auto"/>
        <w:ind w:firstLine="480" w:firstLineChars="200"/>
        <w:rPr>
          <w:rFonts w:ascii="宋体" w:hAnsi="宋体"/>
          <w:sz w:val="24"/>
          <w:szCs w:val="24"/>
        </w:rPr>
      </w:pPr>
      <w:r>
        <w:rPr>
          <w:rFonts w:hint="eastAsia" w:ascii="宋体" w:hAnsi="宋体"/>
          <w:sz w:val="24"/>
          <w:szCs w:val="24"/>
        </w:rPr>
        <w:t>公司秉承“特、精、大”的奋斗目标，致力于创造和实现富有活力的管理模式，打造现代品质体系，坚持以“名牌战略”为经营原则，引进国际先进的设备，利用成熟的技术，向国内外客户提供优良的产品和服务！</w:t>
      </w:r>
    </w:p>
    <w:p>
      <w:pPr>
        <w:spacing w:line="400" w:lineRule="exact"/>
        <w:jc w:val="left"/>
        <w:rPr>
          <w:rFonts w:ascii="宋体" w:hAnsi="宋体"/>
          <w:b/>
          <w:bCs/>
          <w:sz w:val="28"/>
          <w:szCs w:val="24"/>
        </w:rPr>
      </w:pPr>
      <w:r>
        <w:rPr>
          <w:rFonts w:hint="eastAsia" w:ascii="宋体" w:hAnsi="宋体"/>
          <w:b/>
          <w:bCs/>
          <w:sz w:val="28"/>
          <w:szCs w:val="24"/>
        </w:rPr>
        <w:t>2.企业文化</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blHeader/>
        </w:trPr>
        <w:tc>
          <w:tcPr>
            <w:tcW w:w="1843" w:type="dxa"/>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default" w:cs="Times New Roman" w:asciiTheme="minorEastAsia" w:hAnsiTheme="minorEastAsia"/>
                <w:kern w:val="0"/>
                <w:sz w:val="24"/>
                <w:szCs w:val="24"/>
              </w:rPr>
            </w:pPr>
            <w:r>
              <w:rPr>
                <w:rFonts w:hint="default" w:cs="Times New Roman" w:asciiTheme="minorEastAsia" w:hAnsiTheme="minorEastAsia"/>
                <w:kern w:val="0"/>
                <w:sz w:val="24"/>
                <w:szCs w:val="24"/>
              </w:rPr>
              <w:t>项</w:t>
            </w:r>
            <w:r>
              <w:rPr>
                <w:rFonts w:hint="eastAsia" w:cs="Times New Roman" w:asciiTheme="minorEastAsia" w:hAnsiTheme="minorEastAsia"/>
                <w:kern w:val="0"/>
                <w:sz w:val="24"/>
                <w:szCs w:val="24"/>
              </w:rPr>
              <w:t xml:space="preserve"> </w:t>
            </w:r>
            <w:r>
              <w:rPr>
                <w:rFonts w:hint="default" w:cs="Times New Roman" w:asciiTheme="minorEastAsia" w:hAnsiTheme="minorEastAsia"/>
                <w:kern w:val="0"/>
                <w:sz w:val="24"/>
                <w:szCs w:val="24"/>
              </w:rPr>
              <w:t>目</w:t>
            </w:r>
          </w:p>
        </w:tc>
        <w:tc>
          <w:tcPr>
            <w:tcW w:w="6521" w:type="dxa"/>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default" w:cs="Times New Roman" w:asciiTheme="minorEastAsia" w:hAnsiTheme="minorEastAsia"/>
                <w:kern w:val="0"/>
                <w:sz w:val="24"/>
                <w:szCs w:val="24"/>
              </w:rPr>
            </w:pPr>
            <w:r>
              <w:rPr>
                <w:rFonts w:hint="default" w:cs="Times New Roman" w:asciiTheme="minorEastAsia" w:hAnsiTheme="minorEastAsia"/>
                <w:kern w:val="0"/>
                <w:sz w:val="24"/>
                <w:szCs w:val="24"/>
              </w:rPr>
              <w:t>内</w:t>
            </w:r>
            <w:r>
              <w:rPr>
                <w:rFonts w:hint="eastAsia" w:cs="Times New Roman" w:asciiTheme="minorEastAsia" w:hAnsiTheme="minorEastAsia"/>
                <w:kern w:val="0"/>
                <w:sz w:val="24"/>
                <w:szCs w:val="24"/>
              </w:rPr>
              <w:t xml:space="preserve">   </w:t>
            </w:r>
            <w:r>
              <w:rPr>
                <w:rFonts w:hint="default" w:cs="Times New Roman" w:asciiTheme="minorEastAsia" w:hAnsiTheme="minorEastAsia"/>
                <w:kern w:val="0"/>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cs="Times New Roman" w:asciiTheme="minorEastAsia" w:hAnsiTheme="minorEastAsia"/>
                <w:kern w:val="0"/>
                <w:sz w:val="24"/>
                <w:szCs w:val="24"/>
              </w:rPr>
            </w:pPr>
            <w:r>
              <w:rPr>
                <w:rFonts w:hint="eastAsia" w:cs="Times New Roman" w:asciiTheme="minorEastAsia" w:hAnsiTheme="minorEastAsia"/>
                <w:kern w:val="0"/>
                <w:sz w:val="24"/>
                <w:szCs w:val="24"/>
              </w:rPr>
              <w:t>使命</w:t>
            </w:r>
          </w:p>
        </w:tc>
        <w:tc>
          <w:tcPr>
            <w:tcW w:w="6521" w:type="dxa"/>
            <w:noWrap w:val="0"/>
            <w:vAlign w:val="center"/>
          </w:tcPr>
          <w:p>
            <w:pPr>
              <w:keepNext w:val="0"/>
              <w:keepLines w:val="0"/>
              <w:suppressLineNumbers w:val="0"/>
              <w:spacing w:before="0" w:beforeAutospacing="0" w:after="0" w:afterAutospacing="0" w:line="360" w:lineRule="auto"/>
              <w:ind w:left="0" w:right="0"/>
              <w:jc w:val="center"/>
              <w:rPr>
                <w:rFonts w:hint="eastAsia" w:cs="Times New Roman" w:asciiTheme="minorEastAsia" w:hAnsiTheme="minorEastAsia" w:eastAsiaTheme="minorEastAsia"/>
                <w:kern w:val="0"/>
                <w:sz w:val="24"/>
                <w:szCs w:val="24"/>
                <w:highlight w:val="yellow"/>
                <w:lang w:eastAsia="zh-CN"/>
              </w:rPr>
            </w:pPr>
            <w:r>
              <w:rPr>
                <w:rFonts w:hint="eastAsia" w:cs="Times New Roman" w:asciiTheme="minorEastAsia" w:hAnsiTheme="minorEastAsia" w:eastAsiaTheme="minorEastAsia"/>
                <w:kern w:val="0"/>
                <w:sz w:val="24"/>
                <w:szCs w:val="24"/>
                <w:highlight w:val="none"/>
                <w:lang w:eastAsia="zh-CN"/>
              </w:rPr>
              <w:t>成就</w:t>
            </w:r>
            <w:r>
              <w:rPr>
                <w:rFonts w:hint="eastAsia" w:cs="Times New Roman" w:asciiTheme="minorEastAsia" w:hAnsiTheme="minorEastAsia"/>
                <w:kern w:val="0"/>
                <w:sz w:val="24"/>
                <w:szCs w:val="24"/>
                <w:highlight w:val="none"/>
                <w:lang w:val="en-US" w:eastAsia="zh-CN"/>
              </w:rPr>
              <w:t>更多</w:t>
            </w:r>
            <w:r>
              <w:rPr>
                <w:rFonts w:hint="eastAsia" w:cs="Times New Roman" w:asciiTheme="minorEastAsia" w:hAnsiTheme="minorEastAsia" w:eastAsiaTheme="minorEastAsia"/>
                <w:kern w:val="0"/>
                <w:sz w:val="24"/>
                <w:szCs w:val="24"/>
                <w:highlight w:val="none"/>
                <w:lang w:eastAsia="zh-CN"/>
              </w:rPr>
              <w:t>幸福家庭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cs="Times New Roman" w:asciiTheme="minorEastAsia" w:hAnsiTheme="minorEastAsia"/>
                <w:kern w:val="0"/>
                <w:sz w:val="24"/>
                <w:szCs w:val="24"/>
              </w:rPr>
            </w:pPr>
            <w:r>
              <w:rPr>
                <w:rFonts w:hint="eastAsia" w:cs="Times New Roman" w:asciiTheme="minorEastAsia" w:hAnsiTheme="minorEastAsia"/>
                <w:kern w:val="0"/>
                <w:sz w:val="24"/>
                <w:szCs w:val="24"/>
              </w:rPr>
              <w:t>愿景</w:t>
            </w:r>
          </w:p>
        </w:tc>
        <w:tc>
          <w:tcPr>
            <w:tcW w:w="6521" w:type="dxa"/>
            <w:noWrap w:val="0"/>
            <w:vAlign w:val="center"/>
          </w:tcPr>
          <w:p>
            <w:pPr>
              <w:keepNext w:val="0"/>
              <w:keepLines w:val="0"/>
              <w:suppressLineNumbers w:val="0"/>
              <w:spacing w:before="0" w:beforeAutospacing="0" w:after="0" w:afterAutospacing="0" w:line="360" w:lineRule="auto"/>
              <w:ind w:left="0" w:right="0" w:firstLine="480" w:firstLineChars="200"/>
              <w:jc w:val="center"/>
              <w:rPr>
                <w:rFonts w:hint="eastAsia" w:cs="Times New Roman" w:asciiTheme="minorEastAsia" w:hAnsiTheme="minorEastAsia" w:eastAsiaTheme="minorEastAsia"/>
                <w:kern w:val="0"/>
                <w:sz w:val="24"/>
                <w:szCs w:val="24"/>
                <w:highlight w:val="yellow"/>
                <w:lang w:eastAsia="zh-CN"/>
              </w:rPr>
            </w:pPr>
            <w:r>
              <w:rPr>
                <w:rFonts w:hint="eastAsia" w:cs="Times New Roman" w:asciiTheme="minorEastAsia" w:hAnsiTheme="minorEastAsia"/>
                <w:kern w:val="0"/>
                <w:sz w:val="24"/>
                <w:szCs w:val="24"/>
                <w:highlight w:val="none"/>
                <w:lang w:eastAsia="zh-CN"/>
              </w:rPr>
              <w:t>做百年企业、树百年品牌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noWrap w:val="0"/>
            <w:vAlign w:val="center"/>
          </w:tcPr>
          <w:p>
            <w:pPr>
              <w:keepNext w:val="0"/>
              <w:keepLines w:val="0"/>
              <w:suppressLineNumbers w:val="0"/>
              <w:spacing w:before="0" w:beforeAutospacing="0" w:after="0" w:afterAutospacing="0" w:line="360" w:lineRule="auto"/>
              <w:ind w:left="0" w:right="0"/>
              <w:jc w:val="center"/>
              <w:rPr>
                <w:rFonts w:hint="default" w:cs="Times New Roman" w:asciiTheme="minorEastAsia" w:hAnsiTheme="minorEastAsia"/>
                <w:kern w:val="0"/>
                <w:sz w:val="24"/>
                <w:szCs w:val="24"/>
              </w:rPr>
            </w:pPr>
            <w:r>
              <w:rPr>
                <w:rFonts w:hint="eastAsia" w:cs="Times New Roman" w:asciiTheme="minorEastAsia" w:hAnsiTheme="minorEastAsia"/>
                <w:kern w:val="0"/>
                <w:sz w:val="24"/>
                <w:szCs w:val="24"/>
              </w:rPr>
              <w:t>核心价值观</w:t>
            </w:r>
          </w:p>
        </w:tc>
        <w:tc>
          <w:tcPr>
            <w:tcW w:w="6521" w:type="dxa"/>
            <w:noWrap w:val="0"/>
            <w:vAlign w:val="center"/>
          </w:tcPr>
          <w:p>
            <w:pPr>
              <w:keepNext w:val="0"/>
              <w:keepLines w:val="0"/>
              <w:suppressLineNumbers w:val="0"/>
              <w:spacing w:before="0" w:beforeAutospacing="0" w:after="0" w:afterAutospacing="0" w:line="360" w:lineRule="auto"/>
              <w:ind w:left="0" w:right="0" w:firstLine="480" w:firstLineChars="200"/>
              <w:jc w:val="center"/>
              <w:rPr>
                <w:rFonts w:hint="eastAsia" w:cs="Times New Roman" w:asciiTheme="minorEastAsia" w:hAnsiTheme="minorEastAsia" w:eastAsiaTheme="minorEastAsia"/>
                <w:kern w:val="0"/>
                <w:sz w:val="24"/>
                <w:szCs w:val="24"/>
                <w:highlight w:val="yellow"/>
                <w:lang w:eastAsia="zh-CN"/>
              </w:rPr>
            </w:pPr>
            <w:r>
              <w:rPr>
                <w:rFonts w:hint="eastAsia" w:cs="Times New Roman" w:asciiTheme="minorEastAsia" w:hAnsiTheme="minorEastAsia" w:eastAsiaTheme="minorEastAsia"/>
                <w:kern w:val="0"/>
                <w:sz w:val="24"/>
                <w:szCs w:val="24"/>
                <w:highlight w:val="none"/>
                <w:lang w:eastAsia="zh-CN"/>
              </w:rPr>
              <w:t>客户价值导向、服务价值导向，以销售为龙头、以技术为生命，外服务于市场、内服务于现场</w:t>
            </w:r>
          </w:p>
        </w:tc>
      </w:tr>
    </w:tbl>
    <w:p>
      <w:pPr>
        <w:spacing w:before="156" w:beforeLines="50" w:after="156" w:afterLines="50" w:line="360" w:lineRule="auto"/>
        <w:outlineLvl w:val="0"/>
        <w:rPr>
          <w:rFonts w:cs="Times New Roman" w:asciiTheme="majorEastAsia" w:hAnsiTheme="majorEastAsia" w:eastAsiaTheme="majorEastAsia"/>
          <w:b/>
          <w:color w:val="000000" w:themeColor="text1"/>
          <w:sz w:val="28"/>
          <w:szCs w:val="24"/>
          <w14:textFill>
            <w14:solidFill>
              <w14:schemeClr w14:val="tx1"/>
            </w14:solidFill>
          </w14:textFill>
        </w:rPr>
      </w:pPr>
      <w:r>
        <w:rPr>
          <w:rFonts w:hint="eastAsia" w:cs="Times New Roman" w:asciiTheme="majorEastAsia" w:hAnsiTheme="majorEastAsia" w:eastAsiaTheme="majorEastAsia"/>
          <w:b/>
          <w:color w:val="000000" w:themeColor="text1"/>
          <w:sz w:val="28"/>
          <w:szCs w:val="24"/>
          <w14:textFill>
            <w14:solidFill>
              <w14:schemeClr w14:val="tx1"/>
            </w14:solidFill>
          </w14:textFill>
        </w:rPr>
        <w:t>二、</w:t>
      </w:r>
      <w:r>
        <w:rPr>
          <w:rFonts w:cs="Times New Roman" w:asciiTheme="majorEastAsia" w:hAnsiTheme="majorEastAsia" w:eastAsiaTheme="majorEastAsia"/>
          <w:b/>
          <w:color w:val="000000" w:themeColor="text1"/>
          <w:sz w:val="28"/>
          <w:szCs w:val="24"/>
          <w14:textFill>
            <w14:solidFill>
              <w14:schemeClr w14:val="tx1"/>
            </w14:solidFill>
          </w14:textFill>
        </w:rPr>
        <w:t>组织架构</w:t>
      </w:r>
      <w:r>
        <w:rPr>
          <w:rFonts w:hint="eastAsia" w:cs="Times New Roman" w:asciiTheme="majorEastAsia" w:hAnsiTheme="majorEastAsia" w:eastAsiaTheme="majorEastAsia"/>
          <w:b/>
          <w:color w:val="000000" w:themeColor="text1"/>
          <w:sz w:val="28"/>
          <w:szCs w:val="24"/>
          <w14:textFill>
            <w14:solidFill>
              <w14:schemeClr w14:val="tx1"/>
            </w14:solidFill>
          </w14:textFill>
        </w:rPr>
        <w:t>及</w:t>
      </w:r>
      <w:r>
        <w:rPr>
          <w:rFonts w:cs="Times New Roman" w:asciiTheme="majorEastAsia" w:hAnsiTheme="majorEastAsia" w:eastAsiaTheme="majorEastAsia"/>
          <w:b/>
          <w:color w:val="000000" w:themeColor="text1"/>
          <w:sz w:val="28"/>
          <w:szCs w:val="24"/>
          <w14:textFill>
            <w14:solidFill>
              <w14:schemeClr w14:val="tx1"/>
            </w14:solidFill>
          </w14:textFill>
        </w:rPr>
        <w:t>主要产品</w:t>
      </w:r>
    </w:p>
    <w:p>
      <w:pPr>
        <w:spacing w:before="156" w:beforeLines="50" w:after="156" w:afterLines="50" w:line="360" w:lineRule="auto"/>
        <w:outlineLvl w:val="0"/>
        <w:rPr>
          <w:rFonts w:cs="Times New Roman" w:asciiTheme="majorEastAsia" w:hAnsiTheme="majorEastAsia" w:eastAsiaTheme="majorEastAsia"/>
          <w:b/>
          <w:color w:val="000000" w:themeColor="text1"/>
          <w:sz w:val="24"/>
          <w:szCs w:val="24"/>
          <w14:textFill>
            <w14:solidFill>
              <w14:schemeClr w14:val="tx1"/>
            </w14:solidFill>
          </w14:textFill>
        </w:rPr>
      </w:pPr>
      <w:r>
        <w:rPr>
          <w:rFonts w:cs="Times New Roman" w:asciiTheme="majorEastAsia" w:hAnsiTheme="majorEastAsia" w:eastAsiaTheme="majorEastAsia"/>
          <w:b/>
          <w:color w:val="000000" w:themeColor="text1"/>
          <w:sz w:val="24"/>
          <w:szCs w:val="24"/>
          <w14:textFill>
            <w14:solidFill>
              <w14:schemeClr w14:val="tx1"/>
            </w14:solidFill>
          </w14:textFill>
        </w:rPr>
        <w:t>1</w:t>
      </w:r>
      <w:r>
        <w:rPr>
          <w:rFonts w:hint="eastAsia" w:cs="Times New Roman" w:asciiTheme="majorEastAsia" w:hAnsiTheme="majorEastAsia" w:eastAsiaTheme="majorEastAsia"/>
          <w:b/>
          <w:color w:val="000000" w:themeColor="text1"/>
          <w:sz w:val="24"/>
          <w:szCs w:val="24"/>
          <w14:textFill>
            <w14:solidFill>
              <w14:schemeClr w14:val="tx1"/>
            </w14:solidFill>
          </w14:textFill>
        </w:rPr>
        <w:t>、组织</w:t>
      </w:r>
      <w:r>
        <w:rPr>
          <w:rFonts w:cs="Times New Roman" w:asciiTheme="majorEastAsia" w:hAnsiTheme="majorEastAsia" w:eastAsiaTheme="majorEastAsia"/>
          <w:b/>
          <w:color w:val="000000" w:themeColor="text1"/>
          <w:sz w:val="24"/>
          <w:szCs w:val="24"/>
          <w14:textFill>
            <w14:solidFill>
              <w14:schemeClr w14:val="tx1"/>
            </w14:solidFill>
          </w14:textFill>
        </w:rPr>
        <w:t>架构图</w:t>
      </w:r>
    </w:p>
    <w:p>
      <w:pPr>
        <w:pStyle w:val="47"/>
        <w:ind w:left="0" w:leftChars="0" w:firstLine="0" w:firstLineChars="0"/>
        <w:jc w:val="center"/>
        <w:rPr>
          <w:rFonts w:asciiTheme="majorEastAsia" w:hAnsiTheme="majorEastAsia" w:eastAsiaTheme="majorEastAsia"/>
          <w:b/>
          <w:color w:val="000000" w:themeColor="text1"/>
          <w:szCs w:val="24"/>
          <w:lang w:val="en-US"/>
          <w14:textFill>
            <w14:solidFill>
              <w14:schemeClr w14:val="tx1"/>
            </w14:solidFill>
          </w14:textFill>
        </w:rPr>
      </w:pPr>
      <w:r>
        <w:drawing>
          <wp:inline distT="0" distB="0" distL="114300" distR="114300">
            <wp:extent cx="4381500" cy="5105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381500" cy="5105400"/>
                    </a:xfrm>
                    <a:prstGeom prst="rect">
                      <a:avLst/>
                    </a:prstGeom>
                    <a:noFill/>
                    <a:ln>
                      <a:noFill/>
                    </a:ln>
                  </pic:spPr>
                </pic:pic>
              </a:graphicData>
            </a:graphic>
          </wp:inline>
        </w:drawing>
      </w:r>
    </w:p>
    <w:p>
      <w:pPr>
        <w:spacing w:before="156" w:beforeLines="50" w:after="156" w:afterLines="50" w:line="360" w:lineRule="auto"/>
        <w:outlineLvl w:val="0"/>
        <w:rPr>
          <w:rFonts w:cs="Times New Roman" w:asciiTheme="majorEastAsia" w:hAnsiTheme="majorEastAsia" w:eastAsiaTheme="majorEastAsia"/>
          <w:b/>
          <w:color w:val="000000" w:themeColor="text1"/>
          <w:sz w:val="24"/>
          <w:szCs w:val="24"/>
          <w14:textFill>
            <w14:solidFill>
              <w14:schemeClr w14:val="tx1"/>
            </w14:solidFill>
          </w14:textFill>
        </w:rPr>
      </w:pPr>
      <w:r>
        <w:rPr>
          <w:rFonts w:hint="eastAsia" w:cs="Times New Roman" w:asciiTheme="majorEastAsia" w:hAnsiTheme="majorEastAsia" w:eastAsiaTheme="majorEastAsia"/>
          <w:b/>
          <w:color w:val="000000" w:themeColor="text1"/>
          <w:sz w:val="24"/>
          <w:szCs w:val="24"/>
          <w14:textFill>
            <w14:solidFill>
              <w14:schemeClr w14:val="tx1"/>
            </w14:solidFill>
          </w14:textFill>
        </w:rPr>
        <w:t>2、</w:t>
      </w:r>
      <w:r>
        <w:rPr>
          <w:rFonts w:cs="Times New Roman" w:asciiTheme="majorEastAsia" w:hAnsiTheme="majorEastAsia" w:eastAsiaTheme="majorEastAsia"/>
          <w:b/>
          <w:color w:val="000000" w:themeColor="text1"/>
          <w:sz w:val="24"/>
          <w:szCs w:val="24"/>
          <w14:textFill>
            <w14:solidFill>
              <w14:schemeClr w14:val="tx1"/>
            </w14:solidFill>
          </w14:textFill>
        </w:rPr>
        <w:t>主要产品</w:t>
      </w:r>
    </w:p>
    <w:p>
      <w:pPr>
        <w:spacing w:line="600" w:lineRule="exact"/>
        <w:ind w:firstLine="480" w:firstLineChars="200"/>
        <w:jc w:val="left"/>
        <w:rPr>
          <w:sz w:val="24"/>
          <w:szCs w:val="18"/>
        </w:rPr>
      </w:pPr>
      <w:bookmarkStart w:id="7" w:name="_Hlk24620175"/>
      <w:r>
        <w:rPr>
          <w:rFonts w:hint="eastAsia"/>
          <w:sz w:val="24"/>
          <w:szCs w:val="18"/>
          <w:highlight w:val="none"/>
          <w:lang w:eastAsia="zh-CN"/>
        </w:rPr>
        <w:t>浙江益宏不锈钢有限公司</w:t>
      </w:r>
      <w:r>
        <w:rPr>
          <w:rFonts w:hint="eastAsia"/>
          <w:sz w:val="24"/>
          <w:szCs w:val="18"/>
          <w:highlight w:val="none"/>
        </w:rPr>
        <w:t>，是以技术开发研制为特色的科技型企业，专业研发、设计、制造、销售</w:t>
      </w:r>
      <w:r>
        <w:rPr>
          <w:rFonts w:hint="eastAsia"/>
          <w:sz w:val="24"/>
          <w:szCs w:val="18"/>
          <w:highlight w:val="none"/>
          <w:lang w:eastAsia="zh-CN"/>
        </w:rPr>
        <w:t>不锈钢钢管</w:t>
      </w:r>
      <w:r>
        <w:rPr>
          <w:rFonts w:hint="eastAsia"/>
          <w:sz w:val="24"/>
          <w:szCs w:val="18"/>
          <w:highlight w:val="none"/>
        </w:rPr>
        <w:t>。</w:t>
      </w:r>
    </w:p>
    <w:p>
      <w:pPr>
        <w:spacing w:line="600" w:lineRule="exact"/>
        <w:ind w:firstLine="480" w:firstLineChars="200"/>
        <w:jc w:val="left"/>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主要产品图片如下：</w:t>
      </w:r>
      <w:bookmarkEnd w:id="7"/>
    </w:p>
    <w:p>
      <w:pPr>
        <w:jc w:val="both"/>
        <w:rPr>
          <w:rFonts w:hint="eastAsia" w:eastAsiaTheme="minorEastAsia"/>
          <w:lang w:eastAsia="zh-CN"/>
        </w:rPr>
      </w:pPr>
      <w:r>
        <w:rPr>
          <w:rFonts w:hint="eastAsia" w:eastAsiaTheme="minorEastAsia"/>
          <w:lang w:eastAsia="zh-CN"/>
        </w:rPr>
        <w:drawing>
          <wp:inline distT="0" distB="0" distL="114300" distR="114300">
            <wp:extent cx="5266690" cy="7019925"/>
            <wp:effectExtent l="0" t="0" r="3810" b="3175"/>
            <wp:docPr id="4" name="图片 4" descr="ee4c7096f3d7648671d741c5192ea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e4c7096f3d7648671d741c5192ea7f"/>
                    <pic:cNvPicPr>
                      <a:picLocks noChangeAspect="1"/>
                    </pic:cNvPicPr>
                  </pic:nvPicPr>
                  <pic:blipFill>
                    <a:blip r:embed="rId6"/>
                    <a:stretch>
                      <a:fillRect/>
                    </a:stretch>
                  </pic:blipFill>
                  <pic:spPr>
                    <a:xfrm>
                      <a:off x="0" y="0"/>
                      <a:ext cx="5266690" cy="7019925"/>
                    </a:xfrm>
                    <a:prstGeom prst="rect">
                      <a:avLst/>
                    </a:prstGeom>
                  </pic:spPr>
                </pic:pic>
              </a:graphicData>
            </a:graphic>
          </wp:inline>
        </w:drawing>
      </w:r>
    </w:p>
    <w:p>
      <w:pPr>
        <w:spacing w:before="156" w:beforeLines="50" w:after="156" w:afterLines="50"/>
        <w:outlineLvl w:val="0"/>
        <w:rPr>
          <w:rFonts w:cs="Times New Roman" w:asciiTheme="majorEastAsia" w:hAnsiTheme="majorEastAsia" w:eastAsiaTheme="majorEastAsia"/>
          <w:b/>
          <w:sz w:val="28"/>
          <w:szCs w:val="24"/>
        </w:rPr>
      </w:pPr>
      <w:r>
        <w:rPr>
          <w:rFonts w:hint="eastAsia" w:cs="Times New Roman" w:asciiTheme="majorEastAsia" w:hAnsiTheme="majorEastAsia" w:eastAsiaTheme="majorEastAsia"/>
          <w:b/>
          <w:sz w:val="28"/>
          <w:szCs w:val="24"/>
        </w:rPr>
        <w:t>三、经济责任</w:t>
      </w:r>
      <w:bookmarkEnd w:id="5"/>
      <w:bookmarkEnd w:id="6"/>
    </w:p>
    <w:p>
      <w:pPr>
        <w:spacing w:before="156" w:beforeLines="50" w:after="156" w:afterLines="50"/>
        <w:outlineLvl w:val="1"/>
        <w:rPr>
          <w:rFonts w:cs="Times New Roman" w:asciiTheme="majorEastAsia" w:hAnsiTheme="majorEastAsia" w:eastAsiaTheme="majorEastAsia"/>
          <w:b/>
          <w:sz w:val="24"/>
          <w:szCs w:val="24"/>
        </w:rPr>
      </w:pPr>
      <w:bookmarkStart w:id="8" w:name="_Toc451610892"/>
      <w:bookmarkStart w:id="9" w:name="_Toc451610985"/>
      <w:r>
        <w:rPr>
          <w:rFonts w:hint="eastAsia" w:cs="Times New Roman" w:asciiTheme="majorEastAsia" w:hAnsiTheme="majorEastAsia" w:eastAsiaTheme="majorEastAsia"/>
          <w:b/>
          <w:sz w:val="24"/>
          <w:szCs w:val="24"/>
        </w:rPr>
        <w:t>（一）战略方向</w:t>
      </w:r>
      <w:bookmarkEnd w:id="8"/>
      <w:bookmarkEnd w:id="9"/>
    </w:p>
    <w:p>
      <w:pPr>
        <w:pStyle w:val="51"/>
        <w:spacing w:line="360" w:lineRule="auto"/>
        <w:ind w:left="482" w:firstLine="0" w:firstLineChars="0"/>
        <w:rPr>
          <w:rFonts w:asciiTheme="majorEastAsia" w:hAnsiTheme="majorEastAsia" w:eastAsiaTheme="majorEastAsia"/>
          <w:b/>
          <w:bCs/>
          <w:szCs w:val="24"/>
        </w:rPr>
      </w:pPr>
      <w:r>
        <w:rPr>
          <w:rFonts w:hint="eastAsia" w:asciiTheme="majorEastAsia" w:hAnsiTheme="majorEastAsia" w:eastAsiaTheme="majorEastAsia"/>
          <w:b/>
          <w:sz w:val="24"/>
          <w:szCs w:val="24"/>
        </w:rPr>
        <w:t>1）</w:t>
      </w:r>
      <w:r>
        <w:rPr>
          <w:rFonts w:asciiTheme="majorEastAsia" w:hAnsiTheme="majorEastAsia" w:eastAsiaTheme="majorEastAsia"/>
          <w:b/>
          <w:sz w:val="24"/>
          <w:szCs w:val="24"/>
        </w:rPr>
        <w:t>长、中、短期主要战略目标</w:t>
      </w:r>
    </w:p>
    <w:p>
      <w:pPr>
        <w:spacing w:line="360" w:lineRule="auto"/>
        <w:ind w:firstLine="480" w:firstLineChars="200"/>
        <w:rPr>
          <w:rFonts w:asciiTheme="minorEastAsia" w:hAnsiTheme="minorEastAsia"/>
          <w:sz w:val="24"/>
          <w:szCs w:val="24"/>
        </w:rPr>
      </w:pPr>
      <w:r>
        <w:rPr>
          <w:rFonts w:asciiTheme="minorEastAsia" w:hAnsiTheme="minorEastAsia"/>
          <w:sz w:val="24"/>
          <w:szCs w:val="24"/>
          <w:highlight w:val="none"/>
          <w:u w:val="none"/>
        </w:rPr>
        <w:t>公司</w:t>
      </w:r>
      <w:r>
        <w:rPr>
          <w:rFonts w:hint="eastAsia" w:asciiTheme="minorEastAsia" w:hAnsiTheme="minorEastAsia"/>
          <w:sz w:val="24"/>
          <w:szCs w:val="24"/>
          <w:highlight w:val="none"/>
          <w:u w:val="none"/>
        </w:rPr>
        <w:t>将</w:t>
      </w:r>
      <w:r>
        <w:rPr>
          <w:rFonts w:asciiTheme="minorEastAsia" w:hAnsiTheme="minorEastAsia"/>
          <w:sz w:val="24"/>
          <w:szCs w:val="24"/>
          <w:highlight w:val="none"/>
          <w:u w:val="none"/>
        </w:rPr>
        <w:t>秉承“</w:t>
      </w:r>
      <w:r>
        <w:rPr>
          <w:rFonts w:hint="eastAsia" w:asciiTheme="minorEastAsia" w:hAnsiTheme="minorEastAsia"/>
          <w:sz w:val="24"/>
          <w:szCs w:val="24"/>
          <w:highlight w:val="none"/>
          <w:u w:val="none"/>
        </w:rPr>
        <w:t>亲</w:t>
      </w:r>
      <w:r>
        <w:rPr>
          <w:rFonts w:hint="eastAsia" w:asciiTheme="minorEastAsia" w:hAnsiTheme="minorEastAsia"/>
          <w:sz w:val="24"/>
          <w:szCs w:val="24"/>
          <w:highlight w:val="none"/>
          <w:u w:val="none"/>
          <w:lang w:eastAsia="zh-CN"/>
        </w:rPr>
        <w:t>——</w:t>
      </w:r>
      <w:r>
        <w:rPr>
          <w:rFonts w:hint="eastAsia" w:asciiTheme="minorEastAsia" w:hAnsiTheme="minorEastAsia"/>
          <w:sz w:val="24"/>
          <w:szCs w:val="24"/>
          <w:highlight w:val="none"/>
          <w:u w:val="none"/>
        </w:rPr>
        <w:t>即亲和。以人为本，彼此亲怀，互相爱护，精诚团结，形成公司强大的亲和力和凝聚力。笃</w:t>
      </w:r>
      <w:r>
        <w:rPr>
          <w:rFonts w:hint="eastAsia" w:asciiTheme="minorEastAsia" w:hAnsiTheme="minorEastAsia"/>
          <w:sz w:val="24"/>
          <w:szCs w:val="24"/>
          <w:highlight w:val="none"/>
          <w:u w:val="none"/>
          <w:lang w:eastAsia="zh-CN"/>
        </w:rPr>
        <w:t>——</w:t>
      </w:r>
      <w:r>
        <w:rPr>
          <w:rFonts w:hint="eastAsia" w:asciiTheme="minorEastAsia" w:hAnsiTheme="minorEastAsia"/>
          <w:sz w:val="24"/>
          <w:szCs w:val="24"/>
          <w:highlight w:val="none"/>
          <w:u w:val="none"/>
        </w:rPr>
        <w:t>即诚信。 坦诚相待，光明磊落，信誉至上，忠诚事业，克尽职守，维护公司声誉和形象。达</w:t>
      </w:r>
      <w:r>
        <w:rPr>
          <w:rFonts w:hint="eastAsia" w:asciiTheme="minorEastAsia" w:hAnsiTheme="minorEastAsia"/>
          <w:sz w:val="24"/>
          <w:szCs w:val="24"/>
          <w:highlight w:val="none"/>
          <w:u w:val="none"/>
          <w:lang w:eastAsia="zh-CN"/>
        </w:rPr>
        <w:t>——</w:t>
      </w:r>
      <w:r>
        <w:rPr>
          <w:rFonts w:hint="eastAsia" w:asciiTheme="minorEastAsia" w:hAnsiTheme="minorEastAsia"/>
          <w:sz w:val="24"/>
          <w:szCs w:val="24"/>
          <w:highlight w:val="none"/>
          <w:u w:val="none"/>
        </w:rPr>
        <w:t>即达观。 胸怀宽广，充分理解和沟通，思维观念上求同存异、尊重个性，发挥个人创造能力，激活整个公司的发展动力。惠</w:t>
      </w:r>
      <w:r>
        <w:rPr>
          <w:rFonts w:hint="eastAsia" w:asciiTheme="minorEastAsia" w:hAnsiTheme="minorEastAsia"/>
          <w:sz w:val="24"/>
          <w:szCs w:val="24"/>
          <w:highlight w:val="none"/>
          <w:u w:val="none"/>
          <w:lang w:eastAsia="zh-CN"/>
        </w:rPr>
        <w:t>——</w:t>
      </w:r>
      <w:r>
        <w:rPr>
          <w:rFonts w:hint="eastAsia" w:asciiTheme="minorEastAsia" w:hAnsiTheme="minorEastAsia"/>
          <w:sz w:val="24"/>
          <w:szCs w:val="24"/>
          <w:highlight w:val="none"/>
          <w:u w:val="none"/>
        </w:rPr>
        <w:t>即利益。 优质高效，在公司、客户、员工、合作者、 社会之间保持最佳的利益平衡。</w:t>
      </w:r>
      <w:r>
        <w:rPr>
          <w:rFonts w:asciiTheme="minorEastAsia" w:hAnsiTheme="minorEastAsia"/>
          <w:sz w:val="24"/>
          <w:szCs w:val="24"/>
          <w:highlight w:val="none"/>
          <w:u w:val="none"/>
        </w:rPr>
        <w:t>”的企业精神，</w:t>
      </w:r>
      <w:r>
        <w:rPr>
          <w:rFonts w:asciiTheme="minorEastAsia" w:hAnsiTheme="minorEastAsia"/>
          <w:sz w:val="24"/>
          <w:szCs w:val="24"/>
          <w:highlight w:val="none"/>
        </w:rPr>
        <w:t>坚持“</w:t>
      </w:r>
      <w:r>
        <w:rPr>
          <w:rFonts w:hint="eastAsia" w:cs="Times New Roman" w:asciiTheme="minorEastAsia" w:hAnsiTheme="minorEastAsia"/>
          <w:kern w:val="0"/>
          <w:sz w:val="24"/>
          <w:szCs w:val="24"/>
          <w:highlight w:val="none"/>
          <w:lang w:val="en-US" w:eastAsia="zh-CN"/>
        </w:rPr>
        <w:t>打造百年益宏，成就幸福家庭</w:t>
      </w:r>
      <w:r>
        <w:rPr>
          <w:rFonts w:asciiTheme="minorEastAsia" w:hAnsiTheme="minorEastAsia"/>
          <w:sz w:val="24"/>
          <w:szCs w:val="24"/>
          <w:highlight w:val="none"/>
        </w:rPr>
        <w:t>”的经营</w:t>
      </w:r>
      <w:r>
        <w:rPr>
          <w:rFonts w:hint="eastAsia" w:asciiTheme="minorEastAsia" w:hAnsiTheme="minorEastAsia"/>
          <w:sz w:val="24"/>
          <w:szCs w:val="24"/>
          <w:highlight w:val="none"/>
          <w:lang w:val="en-US" w:eastAsia="zh-CN"/>
        </w:rPr>
        <w:t>理念</w:t>
      </w:r>
      <w:r>
        <w:rPr>
          <w:rFonts w:asciiTheme="minorEastAsia" w:hAnsiTheme="minorEastAsia"/>
          <w:sz w:val="24"/>
          <w:szCs w:val="24"/>
          <w:highlight w:val="none"/>
        </w:rPr>
        <w:t>，</w:t>
      </w:r>
      <w:r>
        <w:rPr>
          <w:rFonts w:hint="eastAsia" w:asciiTheme="minorEastAsia" w:hAnsiTheme="minorEastAsia"/>
          <w:sz w:val="24"/>
          <w:szCs w:val="24"/>
          <w:highlight w:val="none"/>
        </w:rPr>
        <w:t>专注于</w:t>
      </w:r>
      <w:r>
        <w:rPr>
          <w:rFonts w:hint="eastAsia" w:asciiTheme="minorEastAsia" w:hAnsiTheme="minorEastAsia"/>
          <w:sz w:val="24"/>
          <w:szCs w:val="24"/>
          <w:highlight w:val="none"/>
          <w:lang w:eastAsia="zh-CN"/>
        </w:rPr>
        <w:t>不锈钢钢管</w:t>
      </w:r>
      <w:r>
        <w:rPr>
          <w:rFonts w:hint="eastAsia" w:asciiTheme="minorEastAsia" w:hAnsiTheme="minorEastAsia"/>
          <w:sz w:val="24"/>
          <w:szCs w:val="24"/>
          <w:highlight w:val="none"/>
        </w:rPr>
        <w:t>行业，</w:t>
      </w:r>
      <w:r>
        <w:rPr>
          <w:rFonts w:asciiTheme="minorEastAsia" w:hAnsiTheme="minorEastAsia"/>
          <w:sz w:val="24"/>
          <w:szCs w:val="24"/>
          <w:highlight w:val="none"/>
        </w:rPr>
        <w:t>持续为客户提供满意的产品和可信赖的服务，</w:t>
      </w:r>
      <w:r>
        <w:rPr>
          <w:rFonts w:hint="eastAsia" w:asciiTheme="minorEastAsia" w:hAnsiTheme="minorEastAsia"/>
          <w:sz w:val="24"/>
          <w:szCs w:val="24"/>
          <w:highlight w:val="none"/>
        </w:rPr>
        <w:t>不断</w:t>
      </w:r>
      <w:r>
        <w:rPr>
          <w:rFonts w:asciiTheme="minorEastAsia" w:hAnsiTheme="minorEastAsia"/>
          <w:sz w:val="24"/>
          <w:szCs w:val="24"/>
          <w:highlight w:val="none"/>
        </w:rPr>
        <w:t>巩固和提高</w:t>
      </w:r>
      <w:r>
        <w:rPr>
          <w:rFonts w:hint="eastAsia" w:asciiTheme="minorEastAsia" w:hAnsiTheme="minorEastAsia"/>
          <w:sz w:val="24"/>
          <w:szCs w:val="24"/>
          <w:highlight w:val="none"/>
        </w:rPr>
        <w:t>企业的行业</w:t>
      </w:r>
      <w:r>
        <w:rPr>
          <w:rFonts w:asciiTheme="minorEastAsia" w:hAnsiTheme="minorEastAsia"/>
          <w:sz w:val="24"/>
          <w:szCs w:val="24"/>
          <w:highlight w:val="none"/>
        </w:rPr>
        <w:t>领先地位</w:t>
      </w:r>
      <w:r>
        <w:rPr>
          <w:rFonts w:hint="eastAsia" w:asciiTheme="minorEastAsia" w:hAnsiTheme="minorEastAsia"/>
          <w:sz w:val="24"/>
          <w:szCs w:val="24"/>
          <w:highlight w:val="none"/>
        </w:rPr>
        <w:t>，并在业内树立起行业的卓越形象。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公司不断加大研发创新投入、加强研发创新力度，持续提升科技水平；</w:t>
      </w:r>
      <w:r>
        <w:rPr>
          <w:rFonts w:asciiTheme="minorEastAsia" w:hAnsiTheme="minorEastAsia"/>
          <w:sz w:val="24"/>
          <w:szCs w:val="24"/>
        </w:rPr>
        <w:t>继续</w:t>
      </w:r>
      <w:r>
        <w:rPr>
          <w:rFonts w:hint="eastAsia" w:asciiTheme="minorEastAsia" w:hAnsiTheme="minorEastAsia"/>
          <w:sz w:val="24"/>
          <w:szCs w:val="24"/>
        </w:rPr>
        <w:t>推进精益制造</w:t>
      </w:r>
      <w:r>
        <w:rPr>
          <w:rFonts w:asciiTheme="minorEastAsia" w:hAnsiTheme="minorEastAsia"/>
          <w:sz w:val="24"/>
          <w:szCs w:val="24"/>
        </w:rPr>
        <w:t>，</w:t>
      </w:r>
      <w:r>
        <w:rPr>
          <w:rFonts w:hint="eastAsia" w:asciiTheme="minorEastAsia" w:hAnsiTheme="minorEastAsia"/>
          <w:sz w:val="24"/>
          <w:szCs w:val="24"/>
        </w:rPr>
        <w:t>不断夯实提供优质产品的全面能力；建设发展公司品牌，开拓国内市场；建立生态供应链，关注上下游供应链健康；大力引进专业人才，提升公司经营各个环节的专业度；整合各方资源，</w:t>
      </w:r>
      <w:r>
        <w:rPr>
          <w:rFonts w:asciiTheme="minorEastAsia" w:hAnsiTheme="minorEastAsia"/>
          <w:sz w:val="24"/>
          <w:szCs w:val="24"/>
        </w:rPr>
        <w:t>大力</w:t>
      </w:r>
      <w:r>
        <w:rPr>
          <w:rFonts w:hint="eastAsia" w:asciiTheme="minorEastAsia" w:hAnsiTheme="minorEastAsia"/>
          <w:sz w:val="24"/>
          <w:szCs w:val="24"/>
        </w:rPr>
        <w:t>推行</w:t>
      </w:r>
      <w:r>
        <w:rPr>
          <w:rFonts w:asciiTheme="minorEastAsia" w:hAnsiTheme="minorEastAsia"/>
          <w:sz w:val="24"/>
          <w:szCs w:val="24"/>
        </w:rPr>
        <w:t>商业模式</w:t>
      </w:r>
      <w:r>
        <w:rPr>
          <w:rFonts w:hint="eastAsia" w:asciiTheme="minorEastAsia" w:hAnsiTheme="minorEastAsia"/>
          <w:sz w:val="24"/>
          <w:szCs w:val="24"/>
        </w:rPr>
        <w:t>创新</w:t>
      </w:r>
      <w:r>
        <w:rPr>
          <w:rFonts w:asciiTheme="minorEastAsia" w:hAnsiTheme="minorEastAsia"/>
          <w:sz w:val="24"/>
          <w:szCs w:val="24"/>
        </w:rPr>
        <w:t>和</w:t>
      </w:r>
      <w:r>
        <w:rPr>
          <w:rFonts w:hint="eastAsia" w:asciiTheme="minorEastAsia" w:hAnsiTheme="minorEastAsia"/>
          <w:sz w:val="24"/>
          <w:szCs w:val="24"/>
        </w:rPr>
        <w:t>管理模式创新</w:t>
      </w:r>
      <w:r>
        <w:rPr>
          <w:rFonts w:asciiTheme="minorEastAsia" w:hAnsiTheme="minorEastAsia"/>
          <w:sz w:val="24"/>
          <w:szCs w:val="24"/>
        </w:rPr>
        <w:t>，</w:t>
      </w:r>
      <w:r>
        <w:rPr>
          <w:rFonts w:hint="eastAsia" w:asciiTheme="minorEastAsia" w:hAnsiTheme="minorEastAsia"/>
          <w:sz w:val="24"/>
          <w:szCs w:val="24"/>
        </w:rPr>
        <w:t>为成为行业龙头企业而努力</w:t>
      </w:r>
      <w:r>
        <w:rPr>
          <w:rFonts w:asciiTheme="minorEastAsia" w:hAnsiTheme="minorEastAsia"/>
          <w:sz w:val="24"/>
          <w:szCs w:val="24"/>
        </w:rPr>
        <w:t>。</w:t>
      </w:r>
    </w:p>
    <w:p>
      <w:pPr>
        <w:pStyle w:val="51"/>
        <w:spacing w:line="360" w:lineRule="auto"/>
        <w:ind w:left="482" w:firstLine="0" w:firstLineChars="0"/>
        <w:rPr>
          <w:rFonts w:asciiTheme="majorEastAsia" w:hAnsiTheme="majorEastAsia" w:eastAsiaTheme="majorEastAsia"/>
          <w:b/>
          <w:sz w:val="24"/>
          <w:szCs w:val="24"/>
        </w:rPr>
      </w:pPr>
      <w:r>
        <w:rPr>
          <w:rFonts w:hint="eastAsia" w:asciiTheme="majorEastAsia" w:hAnsiTheme="majorEastAsia" w:eastAsiaTheme="majorEastAsia"/>
          <w:b/>
          <w:sz w:val="24"/>
          <w:szCs w:val="24"/>
        </w:rPr>
        <w:t>2）</w:t>
      </w:r>
      <w:r>
        <w:rPr>
          <w:rFonts w:asciiTheme="majorEastAsia" w:hAnsiTheme="majorEastAsia" w:eastAsiaTheme="majorEastAsia"/>
          <w:b/>
          <w:sz w:val="24"/>
          <w:szCs w:val="24"/>
        </w:rPr>
        <w:t>战略发展方向及目标</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1、大力推行全员改善，持续提升运营效率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继续推进全员改善的广度和深度，全面减少七大浪费，激励全体员工在更广泛、更深层次的领域实施全员改善提案，保持持续改善机制的规范运作，形成持续改善的文化氛围，达到提升产品质量、改进现场管理、消除安全隐患、降低运营成本、提高劳动效率的目的，为制造出高性价比、高质量、耐用可靠的产品提供保障。</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2、继续加大研发投入，提升产品技术水平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公司战略规划和发展阶段，继续完善公司技术创新体系，加强基础研发条件建设，建立以公司经营战略为目标，以市场需求为导向的信息沟通机制。继续加大研发投入，加强市场调研活动，研究国内外消费者需求趋势，确保研发项目按时有序推进，实现突破。</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3、持续引进优秀人才，加大内部人才培养力度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革新、提升、转变的主题下，公司始终坚持认为人才是公司持续成长的基石，始终保持开放的人才观，大力引进优秀人才，并创造有利的条件使其能够发挥最大的作用。加强价值观引导，开展批评与自我批评，鼓励员工勇于创新、积极改善，并鼓励员工自主学习、不断进步。同时加大对内部人才的培训力度，使其适应公司快速发展的步伐，发挥老员工的积极作用。</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4、用好中国市场，创建品牌和渠道</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随着国内经济的发展，国内对</w:t>
      </w:r>
      <w:r>
        <w:rPr>
          <w:rFonts w:hint="eastAsia" w:asciiTheme="minorEastAsia" w:hAnsiTheme="minorEastAsia"/>
          <w:sz w:val="24"/>
          <w:szCs w:val="24"/>
          <w:lang w:val="en-US" w:eastAsia="zh-CN"/>
        </w:rPr>
        <w:t>地板</w:t>
      </w:r>
      <w:r>
        <w:rPr>
          <w:rFonts w:hint="eastAsia" w:asciiTheme="minorEastAsia" w:hAnsiTheme="minorEastAsia"/>
          <w:sz w:val="24"/>
          <w:szCs w:val="24"/>
        </w:rPr>
        <w:t>产品的需求也越来越大。公司将在原有线上线下内销的基础上，精细布局在品牌、渠道和团队方面的发展计划，建立公司自己的品牌和销售渠道，加大国内市场的推进力度，努力提高品牌知名度。公司将加大调研力度，迎合中国消费群体的需求，积极研发设计适合中国市场的产品。</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5、增强产业链服务意识，努力达到合作共赢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司的上游供应商供货质量和供货速度是公司为下游客户提供优质产品和服务的基础，公司将建立相应的制度，引进相应的管理人才，帮助供应商提高管理水平和生产能力，协同供应商共同进步；公司以“成就客户”为唯一存在的理由，想客户所想，做客户所需，加大对消费者需求的研究，积极开发设计符合客户预期的产品。</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6、深化内控管理，加强风险控制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深化内控体系建设，进一步强化内部审计经济监督职能，持续推进风险管理融入整个经营管理流程。强化公司管理目标，完善和优化公司管理流程，提升公司经营效果和效率。</w:t>
      </w:r>
    </w:p>
    <w:p>
      <w:pPr>
        <w:spacing w:before="156" w:beforeLines="50" w:after="156" w:afterLines="50" w:line="360" w:lineRule="auto"/>
        <w:outlineLvl w:val="1"/>
        <w:rPr>
          <w:rFonts w:asciiTheme="minorEastAsia" w:hAnsiTheme="minorEastAsia"/>
          <w:sz w:val="24"/>
          <w:szCs w:val="24"/>
        </w:rPr>
      </w:pPr>
      <w:bookmarkStart w:id="10" w:name="_Toc451610986"/>
      <w:bookmarkStart w:id="11" w:name="_Toc451610893"/>
      <w:r>
        <w:rPr>
          <w:rFonts w:hint="eastAsia" w:cs="Times New Roman" w:asciiTheme="majorEastAsia" w:hAnsiTheme="majorEastAsia" w:eastAsiaTheme="majorEastAsia"/>
          <w:b/>
          <w:sz w:val="24"/>
          <w:szCs w:val="24"/>
        </w:rPr>
        <w:t>（二）市场业绩</w:t>
      </w:r>
      <w:bookmarkEnd w:id="10"/>
      <w:bookmarkEnd w:id="11"/>
    </w:p>
    <w:p>
      <w:pPr>
        <w:tabs>
          <w:tab w:val="left" w:pos="142"/>
        </w:tabs>
        <w:spacing w:before="156" w:beforeLines="50" w:after="156" w:afterLines="50"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）市场地位</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eastAsia="zh-CN"/>
        </w:rPr>
        <w:t>浙江益宏不锈钢有限公司</w:t>
      </w:r>
      <w:r>
        <w:rPr>
          <w:rFonts w:hint="eastAsia" w:asciiTheme="minorEastAsia" w:hAnsiTheme="minorEastAsia"/>
          <w:sz w:val="24"/>
          <w:szCs w:val="24"/>
          <w:highlight w:val="none"/>
        </w:rPr>
        <w:t>是浙江省知名的</w:t>
      </w:r>
      <w:r>
        <w:rPr>
          <w:rFonts w:hint="eastAsia" w:asciiTheme="minorEastAsia" w:hAnsiTheme="minorEastAsia"/>
          <w:sz w:val="24"/>
          <w:szCs w:val="24"/>
          <w:highlight w:val="none"/>
          <w:lang w:eastAsia="zh-CN"/>
        </w:rPr>
        <w:t>不锈钢钢管</w:t>
      </w:r>
      <w:r>
        <w:rPr>
          <w:rFonts w:hint="eastAsia" w:asciiTheme="minorEastAsia" w:hAnsiTheme="minorEastAsia"/>
          <w:sz w:val="24"/>
          <w:szCs w:val="24"/>
          <w:highlight w:val="none"/>
        </w:rPr>
        <w:t>制造商，可为客户提供系列化及个性化的</w:t>
      </w:r>
      <w:r>
        <w:rPr>
          <w:rFonts w:hint="eastAsia" w:asciiTheme="minorEastAsia" w:hAnsiTheme="minorEastAsia"/>
          <w:sz w:val="24"/>
          <w:szCs w:val="24"/>
          <w:highlight w:val="none"/>
          <w:lang w:eastAsia="zh-CN"/>
        </w:rPr>
        <w:t>不锈钢钢管</w:t>
      </w:r>
      <w:r>
        <w:rPr>
          <w:rFonts w:hint="eastAsia" w:asciiTheme="minorEastAsia" w:hAnsiTheme="minorEastAsia"/>
          <w:sz w:val="24"/>
          <w:szCs w:val="24"/>
          <w:highlight w:val="none"/>
        </w:rPr>
        <w:t>，国内市场主要集中在江苏、浙江等地区。</w:t>
      </w:r>
    </w:p>
    <w:p>
      <w:pPr>
        <w:tabs>
          <w:tab w:val="left" w:pos="142"/>
        </w:tabs>
        <w:spacing w:before="156" w:beforeLines="50" w:after="156" w:afterLines="50"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）业务增长和新增市场</w:t>
      </w:r>
    </w:p>
    <w:p>
      <w:pPr>
        <w:spacing w:line="360" w:lineRule="auto"/>
        <w:ind w:firstLine="600" w:firstLineChars="250"/>
        <w:rPr>
          <w:rFonts w:asciiTheme="minorEastAsia" w:hAnsiTheme="minorEastAsia"/>
          <w:sz w:val="24"/>
          <w:szCs w:val="24"/>
          <w:highlight w:val="none"/>
        </w:rPr>
      </w:pPr>
      <w:r>
        <w:rPr>
          <w:rFonts w:hint="eastAsia" w:asciiTheme="minorEastAsia" w:hAnsiTheme="minorEastAsia"/>
          <w:sz w:val="24"/>
          <w:szCs w:val="24"/>
          <w:highlight w:val="none"/>
        </w:rPr>
        <w:t>公司在江浙沪地区加强市场网络建设，持续扩大市场份额，将在上海、江苏、安徽等地设立专门的销售办事处，扩大销售渠道，提供更好的售后服务</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大力进军</w:t>
      </w:r>
      <w:r>
        <w:rPr>
          <w:rFonts w:hint="eastAsia" w:asciiTheme="minorEastAsia" w:hAnsiTheme="minorEastAsia"/>
          <w:sz w:val="24"/>
          <w:szCs w:val="24"/>
          <w:highlight w:val="none"/>
          <w:lang w:val="en-US" w:eastAsia="zh-CN"/>
        </w:rPr>
        <w:t>国外</w:t>
      </w:r>
      <w:r>
        <w:rPr>
          <w:rFonts w:hint="eastAsia" w:asciiTheme="minorEastAsia" w:hAnsiTheme="minorEastAsia"/>
          <w:sz w:val="24"/>
          <w:szCs w:val="24"/>
          <w:highlight w:val="none"/>
        </w:rPr>
        <w:t>市场。计划在公司总部将设立研发中心，高薪聘请了专业设计人员，为客户打造更好的定制化产品。</w:t>
      </w:r>
    </w:p>
    <w:p>
      <w:pPr>
        <w:spacing w:before="156" w:beforeLines="50" w:after="156" w:afterLines="50" w:line="276" w:lineRule="auto"/>
        <w:rPr>
          <w:rFonts w:ascii="宋体" w:hAnsi="宋体"/>
          <w:b/>
          <w:sz w:val="24"/>
          <w:szCs w:val="24"/>
        </w:rPr>
      </w:pPr>
      <w:r>
        <w:rPr>
          <w:rFonts w:hint="eastAsia" w:cs="Times New Roman" w:asciiTheme="majorEastAsia" w:hAnsiTheme="majorEastAsia" w:eastAsiaTheme="majorEastAsia"/>
          <w:b/>
          <w:sz w:val="24"/>
          <w:szCs w:val="24"/>
        </w:rPr>
        <w:t>四、</w:t>
      </w:r>
      <w:r>
        <w:rPr>
          <w:rFonts w:hint="eastAsia" w:ascii="宋体" w:hAnsi="宋体"/>
          <w:b/>
          <w:sz w:val="24"/>
          <w:szCs w:val="24"/>
        </w:rPr>
        <w:t>管理责任：</w:t>
      </w:r>
    </w:p>
    <w:p>
      <w:pPr>
        <w:spacing w:before="156" w:beforeLines="50" w:after="156" w:afterLines="50" w:line="276" w:lineRule="auto"/>
        <w:ind w:firstLine="426" w:firstLineChars="177"/>
        <w:rPr>
          <w:rFonts w:ascii="宋体" w:hAnsi="宋体"/>
          <w:b/>
          <w:sz w:val="24"/>
          <w:szCs w:val="24"/>
        </w:rPr>
      </w:pPr>
      <w:r>
        <w:rPr>
          <w:rFonts w:hint="eastAsia" w:ascii="宋体" w:hAnsi="宋体"/>
          <w:b/>
          <w:sz w:val="24"/>
          <w:szCs w:val="24"/>
        </w:rPr>
        <w:t>1、管理层的</w:t>
      </w:r>
      <w:r>
        <w:rPr>
          <w:rFonts w:ascii="宋体" w:hAnsi="宋体"/>
          <w:b/>
          <w:sz w:val="24"/>
          <w:szCs w:val="24"/>
        </w:rPr>
        <w:t>经营责任</w:t>
      </w:r>
    </w:p>
    <w:p>
      <w:pPr>
        <w:spacing w:before="156" w:beforeLines="50" w:after="156" w:afterLines="50" w:line="360" w:lineRule="auto"/>
        <w:ind w:firstLine="424" w:firstLineChars="177"/>
        <w:rPr>
          <w:rFonts w:ascii="宋体" w:hAnsi="宋体"/>
          <w:sz w:val="24"/>
        </w:rPr>
      </w:pPr>
      <w:bookmarkStart w:id="12" w:name="_Toc211149629"/>
      <w:bookmarkStart w:id="13" w:name="_Toc230143126"/>
      <w:r>
        <w:rPr>
          <w:rFonts w:hint="eastAsia" w:ascii="宋体" w:hAnsi="宋体"/>
          <w:sz w:val="24"/>
        </w:rPr>
        <w:t>公司已实行经营责任制，董事长每年给公司管理层下达经营指标，要求定期汇报公司的经营情况，包括生产、销售、资产运行、税务、利润等有关情况，每年对经营者进行一次考核。高层领导又把经营责任层层分解给下属各部门，每年对各部门进行业绩考核。</w:t>
      </w:r>
    </w:p>
    <w:p>
      <w:pPr>
        <w:spacing w:before="156" w:beforeLines="50" w:after="156" w:afterLines="50" w:line="276" w:lineRule="auto"/>
        <w:ind w:firstLine="426" w:firstLineChars="177"/>
        <w:rPr>
          <w:rFonts w:ascii="宋体" w:hAnsi="宋体"/>
          <w:b/>
          <w:sz w:val="24"/>
          <w:szCs w:val="24"/>
        </w:rPr>
      </w:pPr>
      <w:r>
        <w:rPr>
          <w:rFonts w:hint="eastAsia" w:ascii="宋体" w:hAnsi="宋体"/>
          <w:b/>
          <w:sz w:val="24"/>
          <w:szCs w:val="24"/>
        </w:rPr>
        <w:t>2、</w:t>
      </w:r>
      <w:r>
        <w:rPr>
          <w:rFonts w:ascii="宋体" w:hAnsi="宋体"/>
          <w:b/>
          <w:sz w:val="24"/>
          <w:szCs w:val="24"/>
        </w:rPr>
        <w:t>财务方面的责任</w:t>
      </w:r>
      <w:bookmarkEnd w:id="12"/>
      <w:bookmarkEnd w:id="13"/>
    </w:p>
    <w:p>
      <w:pPr>
        <w:spacing w:line="360" w:lineRule="auto"/>
        <w:ind w:firstLine="480" w:firstLineChars="200"/>
        <w:rPr>
          <w:rFonts w:ascii="宋体" w:hAnsi="宋体"/>
          <w:sz w:val="24"/>
        </w:rPr>
      </w:pPr>
      <w:bookmarkStart w:id="14" w:name="_Toc211149630"/>
      <w:bookmarkStart w:id="15" w:name="_Toc230143127"/>
      <w:r>
        <w:rPr>
          <w:rFonts w:hint="eastAsia" w:ascii="宋体" w:hAnsi="宋体"/>
          <w:sz w:val="24"/>
        </w:rPr>
        <w:t>公司依据国家会计准则以及相关法律法规要求，建立健全了包括资产管理、资金管理、技术开发费用管理、成本核算规范、财务报告管理规范等规章制度。公司按照董事会要求进行财务预算和决算，建立了全面的财务报表体系，按月编制和上报各类财务会计报表。对公司重大投资决策和经营活动进行财务分析，规避公司经营风险。</w:t>
      </w:r>
    </w:p>
    <w:p>
      <w:pPr>
        <w:spacing w:line="360" w:lineRule="auto"/>
        <w:ind w:firstLine="480" w:firstLineChars="200"/>
        <w:rPr>
          <w:rFonts w:ascii="宋体" w:hAnsi="宋体"/>
          <w:sz w:val="24"/>
        </w:rPr>
      </w:pPr>
      <w:r>
        <w:rPr>
          <w:rFonts w:hint="eastAsia" w:ascii="宋体" w:hAnsi="宋体"/>
          <w:sz w:val="24"/>
        </w:rPr>
        <w:t>根据公司相关财务管理制度，公司完善内控制度，强化内部制约制度，所有业务均须由经办人注明事由，部门负责人审核和公司领导审批，以确认其真实性和合法性，计划财务部严格把关。公司各类费用支出严格按规定权限进行审批。对重大项目建设资金支出，按项目实施计划和工程进度，由项目执行负责人审核，分管领导签署确认意见，计划财务部门严格把关。</w:t>
      </w:r>
    </w:p>
    <w:bookmarkEnd w:id="14"/>
    <w:bookmarkEnd w:id="15"/>
    <w:p>
      <w:pPr>
        <w:spacing w:before="156" w:beforeLines="50" w:after="156" w:afterLines="50" w:line="276" w:lineRule="auto"/>
        <w:ind w:firstLine="426" w:firstLineChars="177"/>
        <w:rPr>
          <w:rFonts w:ascii="宋体" w:hAnsi="宋体"/>
          <w:b/>
          <w:sz w:val="24"/>
          <w:szCs w:val="24"/>
        </w:rPr>
      </w:pPr>
      <w:r>
        <w:rPr>
          <w:rFonts w:hint="eastAsia" w:ascii="宋体" w:hAnsi="宋体"/>
          <w:b/>
          <w:sz w:val="24"/>
          <w:szCs w:val="24"/>
        </w:rPr>
        <w:t>3、运营的透明性</w:t>
      </w:r>
    </w:p>
    <w:p>
      <w:pPr>
        <w:adjustRightIn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eastAsia="zh-CN"/>
        </w:rPr>
        <w:t>益宏</w:t>
      </w:r>
      <w:r>
        <w:rPr>
          <w:rFonts w:hint="eastAsia" w:ascii="宋体" w:hAnsi="宋体"/>
          <w:color w:val="000000"/>
          <w:sz w:val="24"/>
          <w:highlight w:val="none"/>
        </w:rPr>
        <w:t>注重经营信息的透明和共享，人事任免、质量问题、先进方法、员工奖励等也都会定期在宣传栏中发布，广泛听取员工意见建议。</w:t>
      </w:r>
    </w:p>
    <w:p>
      <w:pPr>
        <w:spacing w:before="156" w:beforeLines="50" w:after="156" w:afterLines="50" w:line="276" w:lineRule="auto"/>
        <w:ind w:firstLine="426" w:firstLineChars="177"/>
        <w:rPr>
          <w:rFonts w:ascii="宋体" w:hAnsi="宋体"/>
          <w:b/>
          <w:sz w:val="24"/>
          <w:szCs w:val="24"/>
        </w:rPr>
      </w:pPr>
      <w:r>
        <w:rPr>
          <w:rFonts w:hint="eastAsia" w:ascii="宋体" w:hAnsi="宋体"/>
          <w:b/>
          <w:sz w:val="24"/>
          <w:szCs w:val="24"/>
        </w:rPr>
        <w:t>4、</w:t>
      </w:r>
      <w:r>
        <w:rPr>
          <w:rFonts w:ascii="宋体" w:hAnsi="宋体"/>
          <w:b/>
          <w:sz w:val="24"/>
          <w:szCs w:val="24"/>
        </w:rPr>
        <w:t>审计的独立性</w:t>
      </w:r>
    </w:p>
    <w:p>
      <w:pPr>
        <w:adjustRightInd w:val="0"/>
        <w:spacing w:line="360" w:lineRule="auto"/>
        <w:ind w:firstLine="480" w:firstLineChars="200"/>
        <w:rPr>
          <w:rFonts w:ascii="宋体" w:hAnsi="宋体"/>
          <w:color w:val="000000"/>
          <w:sz w:val="24"/>
        </w:rPr>
      </w:pPr>
      <w:r>
        <w:rPr>
          <w:rFonts w:hint="eastAsia" w:ascii="宋体" w:hAnsi="宋体"/>
          <w:color w:val="000000"/>
          <w:sz w:val="24"/>
        </w:rPr>
        <w:t>公司聘请会计师事务所进行外部审计并出具审计报告，以保证公司的会计报表符合国家的《企业会计准则》和《企业会计制度》，公正地反映公司的财务状况，经营成果和现金流量。事务所具备担任审计机构的任职条件，具有相关专业的履职能力，与公司没有关联利益关系，确保了外部审计的独立性。</w:t>
      </w:r>
    </w:p>
    <w:p>
      <w:pPr>
        <w:spacing w:before="156" w:beforeLines="50" w:after="156" w:afterLines="50" w:line="276" w:lineRule="auto"/>
        <w:ind w:firstLine="426" w:firstLineChars="177"/>
        <w:rPr>
          <w:rFonts w:ascii="宋体" w:hAnsi="宋体"/>
          <w:b/>
          <w:sz w:val="24"/>
          <w:szCs w:val="24"/>
        </w:rPr>
      </w:pPr>
      <w:bookmarkStart w:id="16" w:name="_Toc230143129"/>
      <w:bookmarkStart w:id="17" w:name="_Toc211149631"/>
      <w:r>
        <w:rPr>
          <w:rFonts w:hint="eastAsia" w:ascii="宋体" w:hAnsi="宋体"/>
          <w:b/>
          <w:sz w:val="24"/>
          <w:szCs w:val="24"/>
        </w:rPr>
        <w:t>5、</w:t>
      </w:r>
      <w:r>
        <w:rPr>
          <w:rFonts w:ascii="宋体" w:hAnsi="宋体"/>
          <w:b/>
          <w:sz w:val="24"/>
          <w:szCs w:val="24"/>
        </w:rPr>
        <w:t>利益的保护</w:t>
      </w:r>
      <w:bookmarkEnd w:id="16"/>
      <w:bookmarkEnd w:id="17"/>
    </w:p>
    <w:p>
      <w:pPr>
        <w:adjustRightInd w:val="0"/>
        <w:spacing w:line="360" w:lineRule="auto"/>
        <w:ind w:firstLine="420"/>
        <w:rPr>
          <w:rFonts w:ascii="宋体" w:hAnsi="宋体"/>
          <w:color w:val="000000"/>
          <w:sz w:val="24"/>
        </w:rPr>
      </w:pPr>
      <w:r>
        <w:rPr>
          <w:rFonts w:ascii="宋体" w:hAnsi="宋体"/>
          <w:sz w:val="24"/>
        </w:rPr>
        <w:t>公司一贯坚持互利共赢的经营理念，并通过各种方式实现对顾客</w:t>
      </w:r>
      <w:r>
        <w:rPr>
          <w:rFonts w:hint="eastAsia" w:ascii="宋体" w:hAnsi="宋体"/>
          <w:sz w:val="24"/>
        </w:rPr>
        <w:t>、供应商</w:t>
      </w:r>
      <w:r>
        <w:rPr>
          <w:rFonts w:ascii="宋体" w:hAnsi="宋体"/>
          <w:sz w:val="24"/>
        </w:rPr>
        <w:t>等方面利益的负责，具体见表</w:t>
      </w:r>
      <w:r>
        <w:rPr>
          <w:rFonts w:hint="eastAsia" w:ascii="宋体" w:hAnsi="宋体"/>
          <w:sz w:val="24"/>
        </w:rPr>
        <w:t>5-1</w:t>
      </w:r>
      <w:r>
        <w:rPr>
          <w:rFonts w:ascii="宋体" w:hAnsi="宋体"/>
          <w:color w:val="000000"/>
          <w:sz w:val="24"/>
        </w:rPr>
        <w:t>。</w:t>
      </w:r>
    </w:p>
    <w:p>
      <w:pPr>
        <w:pStyle w:val="79"/>
        <w:spacing w:before="120"/>
        <w:jc w:val="center"/>
        <w:rPr>
          <w:rFonts w:ascii="宋体" w:hAnsi="宋体"/>
        </w:rPr>
      </w:pPr>
      <w:bookmarkStart w:id="18" w:name="_Ref326703132"/>
      <w:r>
        <w:rPr>
          <w:rFonts w:hint="eastAsia" w:ascii="宋体" w:hAnsi="宋体"/>
        </w:rPr>
        <w:t>表5-</w:t>
      </w:r>
      <w:bookmarkEnd w:id="18"/>
      <w:r>
        <w:rPr>
          <w:rFonts w:hint="eastAsia" w:ascii="宋体" w:hAnsi="宋体"/>
        </w:rPr>
        <w:t xml:space="preserve">1 </w:t>
      </w:r>
      <w:r>
        <w:rPr>
          <w:rFonts w:ascii="宋体" w:hAnsi="宋体"/>
        </w:rPr>
        <w:t>各相关方利益保护措施</w:t>
      </w:r>
    </w:p>
    <w:tbl>
      <w:tblPr>
        <w:tblStyle w:val="38"/>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5420"/>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620" w:type="dxa"/>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cs="Courier New"/>
                <w:b/>
                <w:szCs w:val="18"/>
              </w:rPr>
            </w:pPr>
            <w:r>
              <w:rPr>
                <w:rFonts w:hint="eastAsia" w:ascii="宋体" w:hAnsi="宋体" w:cs="Courier New"/>
                <w:b/>
                <w:szCs w:val="18"/>
              </w:rPr>
              <w:t>主要相关方</w:t>
            </w:r>
          </w:p>
        </w:tc>
        <w:tc>
          <w:tcPr>
            <w:tcW w:w="5420" w:type="dxa"/>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cs="Courier New"/>
                <w:b/>
                <w:szCs w:val="18"/>
              </w:rPr>
            </w:pPr>
            <w:r>
              <w:rPr>
                <w:rFonts w:hint="eastAsia" w:ascii="宋体" w:hAnsi="宋体" w:cs="Courier New"/>
                <w:b/>
                <w:szCs w:val="18"/>
              </w:rPr>
              <w:t>具体措施</w:t>
            </w:r>
          </w:p>
        </w:tc>
        <w:tc>
          <w:tcPr>
            <w:tcW w:w="2009" w:type="dxa"/>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cs="Courier New"/>
                <w:b/>
                <w:szCs w:val="18"/>
              </w:rPr>
            </w:pPr>
            <w:r>
              <w:rPr>
                <w:rFonts w:hint="eastAsia" w:ascii="宋体" w:hAnsi="宋体" w:cs="Courier New"/>
                <w:b/>
                <w:szCs w:val="18"/>
              </w:rPr>
              <w:t>测量指标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cs="Courier New"/>
                <w:color w:val="000000"/>
                <w:szCs w:val="18"/>
              </w:rPr>
            </w:pPr>
            <w:r>
              <w:rPr>
                <w:rFonts w:hint="eastAsia" w:ascii="宋体" w:hAnsi="宋体" w:cs="Courier New"/>
                <w:color w:val="000000"/>
                <w:szCs w:val="18"/>
              </w:rPr>
              <w:t>顾客</w:t>
            </w:r>
          </w:p>
        </w:tc>
        <w:tc>
          <w:tcPr>
            <w:tcW w:w="5420" w:type="dxa"/>
            <w:shd w:val="clear" w:color="auto" w:fill="auto"/>
            <w:vAlign w:val="center"/>
          </w:tcPr>
          <w:p>
            <w:pPr>
              <w:keepNext w:val="0"/>
              <w:keepLines w:val="0"/>
              <w:suppressLineNumbers w:val="0"/>
              <w:spacing w:before="0" w:beforeAutospacing="0" w:after="0" w:afterAutospacing="0" w:line="276" w:lineRule="auto"/>
              <w:ind w:left="0" w:right="0"/>
              <w:rPr>
                <w:rFonts w:hint="default" w:ascii="宋体" w:hAnsi="宋体" w:cs="Courier New"/>
                <w:color w:val="000000"/>
                <w:szCs w:val="18"/>
              </w:rPr>
            </w:pPr>
            <w:r>
              <w:rPr>
                <w:rFonts w:hint="eastAsia" w:ascii="宋体" w:hAnsi="宋体" w:cs="Courier New"/>
                <w:color w:val="000000"/>
                <w:szCs w:val="18"/>
              </w:rPr>
              <w:t>1、明确顾客需要，细分和选择顾客对象。2、降低顾客成本，给客户带来各种便利及实现有效沟通。3、提高产品的价值和质量，保护顾客的利益等。4、在资源有效的情况下，优先保证重点顾客的交货期。5、加强对客户的服务职能，提高顾客满意度。</w:t>
            </w:r>
          </w:p>
        </w:tc>
        <w:tc>
          <w:tcPr>
            <w:tcW w:w="2009" w:type="dxa"/>
            <w:vAlign w:val="center"/>
          </w:tcPr>
          <w:p>
            <w:pPr>
              <w:keepNext w:val="0"/>
              <w:keepLines w:val="0"/>
              <w:suppressLineNumbers w:val="0"/>
              <w:spacing w:before="0" w:beforeAutospacing="0" w:after="0" w:afterAutospacing="0" w:line="276" w:lineRule="auto"/>
              <w:ind w:left="0" w:right="0"/>
              <w:rPr>
                <w:rFonts w:hint="default" w:ascii="宋体" w:hAnsi="宋体" w:cs="Courier New"/>
                <w:color w:val="000000"/>
                <w:szCs w:val="18"/>
              </w:rPr>
            </w:pPr>
            <w:r>
              <w:rPr>
                <w:rFonts w:hint="eastAsia" w:ascii="宋体" w:hAnsi="宋体" w:cs="Courier New"/>
                <w:color w:val="000000"/>
                <w:szCs w:val="18"/>
              </w:rPr>
              <w:t>顾客满意度等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cs="Courier New"/>
                <w:color w:val="000000"/>
                <w:szCs w:val="18"/>
              </w:rPr>
            </w:pPr>
            <w:r>
              <w:rPr>
                <w:rFonts w:hint="eastAsia" w:ascii="宋体" w:hAnsi="宋体" w:cs="Courier New"/>
                <w:color w:val="000000"/>
                <w:szCs w:val="18"/>
              </w:rPr>
              <w:t>政府及社会公众</w:t>
            </w:r>
          </w:p>
        </w:tc>
        <w:tc>
          <w:tcPr>
            <w:tcW w:w="5420" w:type="dxa"/>
            <w:shd w:val="clear" w:color="auto" w:fill="auto"/>
            <w:vAlign w:val="center"/>
          </w:tcPr>
          <w:p>
            <w:pPr>
              <w:keepNext w:val="0"/>
              <w:keepLines w:val="0"/>
              <w:suppressLineNumbers w:val="0"/>
              <w:spacing w:before="0" w:beforeAutospacing="0" w:after="0" w:afterAutospacing="0" w:line="276" w:lineRule="auto"/>
              <w:ind w:left="0" w:right="0"/>
              <w:rPr>
                <w:rFonts w:hint="default" w:ascii="宋体" w:hAnsi="宋体" w:cs="Courier New"/>
                <w:color w:val="000000"/>
                <w:szCs w:val="18"/>
              </w:rPr>
            </w:pPr>
            <w:r>
              <w:rPr>
                <w:rFonts w:hint="eastAsia" w:ascii="宋体" w:hAnsi="宋体" w:cs="Courier New"/>
                <w:color w:val="000000"/>
                <w:szCs w:val="18"/>
              </w:rPr>
              <w:t>1、依法纳税，绝不逃税漏税。2、公司决不生产和销售伪劣产品，也不哄抬物价或实行垄断价格对社会公众负责。3、推行“清洁生产”、“节能减排”、“绿色制造”等。4、设立救助奖励资金，支持贫困大学生及奖励优秀学生。</w:t>
            </w:r>
          </w:p>
        </w:tc>
        <w:tc>
          <w:tcPr>
            <w:tcW w:w="2009" w:type="dxa"/>
            <w:vAlign w:val="center"/>
          </w:tcPr>
          <w:p>
            <w:pPr>
              <w:keepNext w:val="0"/>
              <w:keepLines w:val="0"/>
              <w:suppressLineNumbers w:val="0"/>
              <w:spacing w:before="0" w:beforeAutospacing="0" w:after="0" w:afterAutospacing="0" w:line="276" w:lineRule="auto"/>
              <w:ind w:left="0" w:right="0"/>
              <w:rPr>
                <w:rFonts w:hint="default" w:ascii="宋体" w:hAnsi="宋体" w:cs="Courier New"/>
                <w:color w:val="000000"/>
                <w:szCs w:val="18"/>
              </w:rPr>
            </w:pPr>
            <w:r>
              <w:rPr>
                <w:rFonts w:hint="eastAsia" w:ascii="宋体" w:hAnsi="宋体" w:cs="Courier New"/>
                <w:color w:val="000000"/>
                <w:szCs w:val="18"/>
              </w:rPr>
              <w:t>慈善捐款额、上缴税收额等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cs="Courier New"/>
                <w:color w:val="000000"/>
                <w:szCs w:val="18"/>
              </w:rPr>
            </w:pPr>
            <w:r>
              <w:rPr>
                <w:rFonts w:hint="eastAsia" w:ascii="宋体" w:hAnsi="宋体" w:cs="Courier New"/>
                <w:color w:val="000000"/>
                <w:szCs w:val="18"/>
              </w:rPr>
              <w:t>供应商及代理商</w:t>
            </w:r>
          </w:p>
        </w:tc>
        <w:tc>
          <w:tcPr>
            <w:tcW w:w="5420" w:type="dxa"/>
            <w:shd w:val="clear" w:color="auto" w:fill="auto"/>
            <w:vAlign w:val="center"/>
          </w:tcPr>
          <w:p>
            <w:pPr>
              <w:keepNext w:val="0"/>
              <w:keepLines w:val="0"/>
              <w:suppressLineNumbers w:val="0"/>
              <w:spacing w:before="0" w:beforeAutospacing="0" w:after="0" w:afterAutospacing="0" w:line="276" w:lineRule="auto"/>
              <w:ind w:left="0" w:right="0"/>
              <w:rPr>
                <w:rFonts w:hint="default" w:ascii="宋体" w:hAnsi="宋体" w:cs="Courier New"/>
                <w:color w:val="000000"/>
                <w:szCs w:val="18"/>
              </w:rPr>
            </w:pPr>
            <w:r>
              <w:rPr>
                <w:rFonts w:hint="eastAsia" w:ascii="宋体" w:hAnsi="宋体" w:cs="Courier New"/>
                <w:color w:val="000000"/>
                <w:szCs w:val="18"/>
              </w:rPr>
              <w:t>1、将“流程透明、集约双赢”等定为公司的采购方针，保障供方的利润空间等。2、按时建立了清晰的供应商接口、多渠道的计划和复审过程来确保供应商符合要求，使质量、成本、准时交付都得到了满足。</w:t>
            </w:r>
          </w:p>
        </w:tc>
        <w:tc>
          <w:tcPr>
            <w:tcW w:w="2009" w:type="dxa"/>
            <w:vAlign w:val="center"/>
          </w:tcPr>
          <w:p>
            <w:pPr>
              <w:keepNext w:val="0"/>
              <w:keepLines w:val="0"/>
              <w:suppressLineNumbers w:val="0"/>
              <w:spacing w:before="0" w:beforeAutospacing="0" w:after="0" w:afterAutospacing="0" w:line="276" w:lineRule="auto"/>
              <w:ind w:left="0" w:right="0"/>
              <w:rPr>
                <w:rFonts w:hint="default" w:ascii="宋体" w:hAnsi="宋体" w:cs="Courier New"/>
                <w:color w:val="000000"/>
                <w:szCs w:val="18"/>
              </w:rPr>
            </w:pPr>
            <w:r>
              <w:rPr>
                <w:rFonts w:hint="eastAsia" w:ascii="宋体" w:hAnsi="宋体" w:cs="Courier New"/>
                <w:color w:val="000000"/>
                <w:szCs w:val="18"/>
              </w:rPr>
              <w:t>采购交期达成率等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cs="Courier New"/>
                <w:color w:val="000000"/>
                <w:szCs w:val="18"/>
              </w:rPr>
            </w:pPr>
            <w:r>
              <w:rPr>
                <w:rFonts w:hint="eastAsia" w:ascii="宋体" w:hAnsi="宋体" w:cs="Courier New"/>
                <w:color w:val="000000"/>
                <w:szCs w:val="18"/>
              </w:rPr>
              <w:t>员工</w:t>
            </w:r>
          </w:p>
        </w:tc>
        <w:tc>
          <w:tcPr>
            <w:tcW w:w="5420" w:type="dxa"/>
            <w:shd w:val="clear" w:color="auto" w:fill="auto"/>
            <w:vAlign w:val="center"/>
          </w:tcPr>
          <w:p>
            <w:pPr>
              <w:keepNext w:val="0"/>
              <w:keepLines w:val="0"/>
              <w:suppressLineNumbers w:val="0"/>
              <w:spacing w:before="0" w:beforeAutospacing="0" w:after="0" w:afterAutospacing="0" w:line="276" w:lineRule="auto"/>
              <w:ind w:left="0" w:right="0"/>
              <w:rPr>
                <w:rFonts w:hint="default" w:ascii="宋体" w:hAnsi="宋体" w:cs="Courier New"/>
                <w:color w:val="000000"/>
                <w:szCs w:val="18"/>
              </w:rPr>
            </w:pPr>
            <w:r>
              <w:rPr>
                <w:rFonts w:hint="eastAsia" w:ascii="宋体" w:hAnsi="宋体" w:cs="Courier New"/>
                <w:color w:val="000000"/>
                <w:szCs w:val="18"/>
              </w:rPr>
              <w:t>1、关心员工生活，使员工有归宿感。2、增加员工工资。3、改善生活环境。4、改善员工福利。5、开展各种文娱活动，改善员工生活。</w:t>
            </w:r>
          </w:p>
        </w:tc>
        <w:tc>
          <w:tcPr>
            <w:tcW w:w="2009" w:type="dxa"/>
            <w:vAlign w:val="center"/>
          </w:tcPr>
          <w:p>
            <w:pPr>
              <w:keepNext w:val="0"/>
              <w:keepLines w:val="0"/>
              <w:suppressLineNumbers w:val="0"/>
              <w:spacing w:before="0" w:beforeAutospacing="0" w:after="0" w:afterAutospacing="0" w:line="276" w:lineRule="auto"/>
              <w:ind w:left="0" w:right="0"/>
              <w:rPr>
                <w:rFonts w:hint="default" w:ascii="宋体" w:hAnsi="宋体" w:cs="Courier New"/>
                <w:color w:val="000000"/>
                <w:szCs w:val="18"/>
              </w:rPr>
            </w:pPr>
            <w:r>
              <w:rPr>
                <w:rFonts w:hint="eastAsia" w:ascii="宋体" w:hAnsi="宋体" w:cs="Courier New"/>
                <w:color w:val="000000"/>
                <w:szCs w:val="18"/>
              </w:rPr>
              <w:t>员工投诉次数及投诉处理的及时性、培训次数、员工收入增长率等</w:t>
            </w:r>
          </w:p>
        </w:tc>
      </w:tr>
    </w:tbl>
    <w:p>
      <w:pPr>
        <w:tabs>
          <w:tab w:val="left" w:pos="10080"/>
        </w:tabs>
        <w:snapToGrid w:val="0"/>
        <w:spacing w:line="240" w:lineRule="atLeast"/>
        <w:ind w:right="25" w:rightChars="12"/>
        <w:rPr>
          <w:b/>
          <w:szCs w:val="21"/>
        </w:rPr>
      </w:pPr>
    </w:p>
    <w:p>
      <w:pPr>
        <w:spacing w:before="156" w:beforeLines="50" w:after="156" w:afterLines="50" w:line="276" w:lineRule="auto"/>
        <w:outlineLvl w:val="0"/>
        <w:rPr>
          <w:rFonts w:cs="Times New Roman" w:asciiTheme="majorEastAsia" w:hAnsiTheme="majorEastAsia" w:eastAsiaTheme="majorEastAsia"/>
          <w:b/>
          <w:color w:val="000000" w:themeColor="text1"/>
          <w:sz w:val="28"/>
          <w:szCs w:val="24"/>
          <w14:textFill>
            <w14:solidFill>
              <w14:schemeClr w14:val="tx1"/>
            </w14:solidFill>
          </w14:textFill>
        </w:rPr>
      </w:pPr>
      <w:bookmarkStart w:id="19" w:name="_Toc451610895"/>
      <w:bookmarkStart w:id="20" w:name="_Toc451610988"/>
      <w:r>
        <w:rPr>
          <w:rFonts w:hint="eastAsia" w:cs="Times New Roman" w:asciiTheme="majorEastAsia" w:hAnsiTheme="majorEastAsia" w:eastAsiaTheme="majorEastAsia"/>
          <w:b/>
          <w:color w:val="000000" w:themeColor="text1"/>
          <w:sz w:val="28"/>
          <w:szCs w:val="24"/>
          <w14:textFill>
            <w14:solidFill>
              <w14:schemeClr w14:val="tx1"/>
            </w14:solidFill>
          </w14:textFill>
        </w:rPr>
        <w:t>四、社会责任</w:t>
      </w:r>
      <w:bookmarkEnd w:id="19"/>
      <w:bookmarkEnd w:id="20"/>
    </w:p>
    <w:p>
      <w:pPr>
        <w:spacing w:before="156" w:beforeLines="50" w:after="156" w:afterLines="50" w:line="276" w:lineRule="auto"/>
        <w:outlineLvl w:val="1"/>
        <w:rPr>
          <w:rFonts w:cs="Times New Roman" w:asciiTheme="majorEastAsia" w:hAnsiTheme="majorEastAsia" w:eastAsiaTheme="majorEastAsia"/>
          <w:b/>
          <w:color w:val="000000" w:themeColor="text1"/>
          <w:sz w:val="24"/>
          <w:szCs w:val="24"/>
          <w14:textFill>
            <w14:solidFill>
              <w14:schemeClr w14:val="tx1"/>
            </w14:solidFill>
          </w14:textFill>
        </w:rPr>
      </w:pPr>
      <w:bookmarkStart w:id="21" w:name="_Toc451610989"/>
      <w:bookmarkStart w:id="22" w:name="_Toc451610896"/>
      <w:r>
        <w:rPr>
          <w:rFonts w:hint="eastAsia" w:cs="Times New Roman" w:asciiTheme="majorEastAsia" w:hAnsiTheme="majorEastAsia" w:eastAsiaTheme="majorEastAsia"/>
          <w:b/>
          <w:color w:val="000000" w:themeColor="text1"/>
          <w:sz w:val="24"/>
          <w:szCs w:val="24"/>
          <w14:textFill>
            <w14:solidFill>
              <w14:schemeClr w14:val="tx1"/>
            </w14:solidFill>
          </w14:textFill>
        </w:rPr>
        <w:t>（一）诚信守法</w:t>
      </w:r>
      <w:bookmarkEnd w:id="21"/>
      <w:bookmarkEnd w:id="22"/>
    </w:p>
    <w:p>
      <w:pPr>
        <w:spacing w:before="100" w:after="100" w:line="360" w:lineRule="auto"/>
        <w:ind w:firstLine="600" w:firstLineChars="250"/>
        <w:rPr>
          <w:rFonts w:cs="Times New Roman" w:asciiTheme="minorEastAsia" w:hAnsiTheme="minorEastAsia"/>
          <w:sz w:val="24"/>
          <w:szCs w:val="24"/>
        </w:rPr>
      </w:pPr>
      <w:r>
        <w:rPr>
          <w:rFonts w:cs="Times New Roman" w:asciiTheme="minorEastAsia" w:hAnsiTheme="minorEastAsia"/>
          <w:sz w:val="24"/>
          <w:szCs w:val="24"/>
        </w:rPr>
        <w:t>高层领导遵循“依法经营、诚信经营”的管理理念，严格遵循《公司法》、《经济法》、《合同法》、《产品质量法》、《安全生产法》、《环保法》、《劳动法》以及</w:t>
      </w:r>
      <w:r>
        <w:rPr>
          <w:rFonts w:hint="eastAsia" w:cs="Times New Roman" w:asciiTheme="minorEastAsia" w:hAnsiTheme="minorEastAsia"/>
          <w:sz w:val="24"/>
          <w:szCs w:val="24"/>
          <w:lang w:val="en-US" w:eastAsia="zh-CN"/>
        </w:rPr>
        <w:t>地板</w:t>
      </w:r>
      <w:r>
        <w:rPr>
          <w:rFonts w:cs="Times New Roman" w:asciiTheme="minorEastAsia" w:hAnsiTheme="minorEastAsia"/>
          <w:sz w:val="24"/>
          <w:szCs w:val="24"/>
        </w:rPr>
        <w:t>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pPr>
        <w:spacing w:before="156" w:beforeLines="50" w:after="156" w:afterLines="50" w:line="276" w:lineRule="auto"/>
        <w:outlineLvl w:val="1"/>
        <w:rPr>
          <w:rFonts w:cs="Times New Roman" w:asciiTheme="majorEastAsia" w:hAnsiTheme="majorEastAsia" w:eastAsiaTheme="majorEastAsia"/>
          <w:b/>
          <w:color w:val="000000" w:themeColor="text1"/>
          <w:sz w:val="24"/>
          <w:szCs w:val="24"/>
          <w14:textFill>
            <w14:solidFill>
              <w14:schemeClr w14:val="tx1"/>
            </w14:solidFill>
          </w14:textFill>
        </w:rPr>
      </w:pPr>
      <w:bookmarkStart w:id="23" w:name="_Toc451610897"/>
      <w:bookmarkStart w:id="24" w:name="_Toc451610990"/>
      <w:r>
        <w:rPr>
          <w:rFonts w:hint="eastAsia" w:cs="Times New Roman" w:asciiTheme="majorEastAsia" w:hAnsiTheme="majorEastAsia" w:eastAsiaTheme="majorEastAsia"/>
          <w:b/>
          <w:color w:val="000000" w:themeColor="text1"/>
          <w:sz w:val="24"/>
          <w:szCs w:val="24"/>
          <w14:textFill>
            <w14:solidFill>
              <w14:schemeClr w14:val="tx1"/>
            </w14:solidFill>
          </w14:textFill>
        </w:rPr>
        <w:t>（二）质量安全</w:t>
      </w:r>
      <w:bookmarkEnd w:id="23"/>
      <w:bookmarkEnd w:id="24"/>
    </w:p>
    <w:p>
      <w:pPr>
        <w:topLinePunct/>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公司制定常规产品生产运行控制流程，做到每一个环节严格控制，严格把关，确保每个</w:t>
      </w:r>
      <w:r>
        <w:rPr>
          <w:rFonts w:hint="eastAsia" w:cs="Times New Roman" w:asciiTheme="minorEastAsia" w:hAnsiTheme="minorEastAsia"/>
          <w:sz w:val="24"/>
          <w:szCs w:val="24"/>
        </w:rPr>
        <w:t>产品</w:t>
      </w:r>
      <w:r>
        <w:rPr>
          <w:rFonts w:cs="Times New Roman" w:asciiTheme="minorEastAsia" w:hAnsiTheme="minorEastAsia"/>
          <w:sz w:val="24"/>
          <w:szCs w:val="24"/>
        </w:rPr>
        <w:t>的生产都符合相关要求，确保最终产品质量的合格。公司还运用三检制，即自检、抽检、质量监察小组对产品质量进行严格把控。其中自检包括产品自检和</w:t>
      </w:r>
      <w:r>
        <w:rPr>
          <w:rFonts w:hint="eastAsia" w:cs="Times New Roman" w:asciiTheme="minorEastAsia" w:hAnsiTheme="minorEastAsia"/>
          <w:sz w:val="24"/>
          <w:szCs w:val="24"/>
        </w:rPr>
        <w:t>后整理</w:t>
      </w:r>
      <w:r>
        <w:rPr>
          <w:rFonts w:cs="Times New Roman" w:asciiTheme="minorEastAsia" w:hAnsiTheme="minorEastAsia"/>
          <w:sz w:val="24"/>
          <w:szCs w:val="24"/>
        </w:rPr>
        <w:t>自检，产品自检是指员工对自己所生产出来的产品，按照</w:t>
      </w:r>
      <w:r>
        <w:rPr>
          <w:rFonts w:hint="eastAsia" w:cs="Times New Roman" w:asciiTheme="minorEastAsia" w:hAnsiTheme="minorEastAsia"/>
          <w:sz w:val="24"/>
          <w:szCs w:val="24"/>
        </w:rPr>
        <w:t>生产工艺单的</w:t>
      </w:r>
      <w:r>
        <w:rPr>
          <w:rFonts w:cs="Times New Roman" w:asciiTheme="minorEastAsia" w:hAnsiTheme="minorEastAsia"/>
          <w:sz w:val="24"/>
          <w:szCs w:val="24"/>
        </w:rPr>
        <w:t>要求自行进行检验，并作出是否合格的判定且在《自检单》上做好相关的自检记录；</w:t>
      </w:r>
      <w:r>
        <w:rPr>
          <w:rFonts w:hint="eastAsia" w:cs="Times New Roman" w:asciiTheme="minorEastAsia" w:hAnsiTheme="minorEastAsia"/>
          <w:sz w:val="24"/>
          <w:szCs w:val="24"/>
        </w:rPr>
        <w:t>后整理</w:t>
      </w:r>
      <w:r>
        <w:rPr>
          <w:rFonts w:cs="Times New Roman" w:asciiTheme="minorEastAsia" w:hAnsiTheme="minorEastAsia"/>
          <w:sz w:val="24"/>
          <w:szCs w:val="24"/>
        </w:rPr>
        <w:t>自检涵盖</w:t>
      </w:r>
      <w:r>
        <w:rPr>
          <w:rFonts w:hint="eastAsia" w:cs="Times New Roman" w:asciiTheme="minorEastAsia" w:hAnsiTheme="minorEastAsia"/>
          <w:sz w:val="24"/>
          <w:szCs w:val="24"/>
        </w:rPr>
        <w:t>产品制造</w:t>
      </w:r>
      <w:r>
        <w:rPr>
          <w:rFonts w:cs="Times New Roman" w:asciiTheme="minorEastAsia" w:hAnsiTheme="minorEastAsia"/>
          <w:sz w:val="24"/>
          <w:szCs w:val="24"/>
        </w:rPr>
        <w:t>的各个工序</w:t>
      </w:r>
    </w:p>
    <w:p>
      <w:pPr>
        <w:spacing w:before="156" w:beforeLines="50" w:after="156" w:afterLines="50" w:line="276" w:lineRule="auto"/>
        <w:outlineLvl w:val="1"/>
        <w:rPr>
          <w:rFonts w:cs="Times New Roman" w:asciiTheme="majorEastAsia" w:hAnsiTheme="majorEastAsia" w:eastAsiaTheme="majorEastAsia"/>
          <w:b/>
          <w:color w:val="000000" w:themeColor="text1"/>
          <w:sz w:val="24"/>
          <w:szCs w:val="24"/>
          <w14:textFill>
            <w14:solidFill>
              <w14:schemeClr w14:val="tx1"/>
            </w14:solidFill>
          </w14:textFill>
        </w:rPr>
      </w:pPr>
      <w:bookmarkStart w:id="25" w:name="_Toc451610991"/>
      <w:bookmarkStart w:id="26" w:name="_Toc451610898"/>
      <w:r>
        <w:rPr>
          <w:rFonts w:hint="eastAsia" w:cs="Times New Roman" w:asciiTheme="majorEastAsia" w:hAnsiTheme="majorEastAsia" w:eastAsiaTheme="majorEastAsia"/>
          <w:b/>
          <w:color w:val="000000" w:themeColor="text1"/>
          <w:sz w:val="24"/>
          <w:szCs w:val="24"/>
          <w14:textFill>
            <w14:solidFill>
              <w14:schemeClr w14:val="tx1"/>
            </w14:solidFill>
          </w14:textFill>
        </w:rPr>
        <w:t>（三）员工权益</w:t>
      </w:r>
      <w:bookmarkEnd w:id="25"/>
      <w:bookmarkEnd w:id="26"/>
      <w:bookmarkStart w:id="27" w:name="_Ref328491126"/>
    </w:p>
    <w:bookmarkEnd w:id="27"/>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尊重员工，</w:t>
      </w:r>
      <w:r>
        <w:rPr>
          <w:rFonts w:cs="Times New Roman" w:asciiTheme="minorEastAsia" w:hAnsiTheme="minorEastAsia"/>
          <w:kern w:val="0"/>
          <w:sz w:val="24"/>
          <w:szCs w:val="24"/>
        </w:rPr>
        <w:t>保障员工的合法权益</w:t>
      </w:r>
    </w:p>
    <w:p>
      <w:pPr>
        <w:adjustRightInd w:val="0"/>
        <w:snapToGrid w:val="0"/>
        <w:spacing w:before="156" w:beforeLines="50"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w:t>
      </w:r>
      <w:r>
        <w:rPr>
          <w:rFonts w:cs="Times New Roman" w:asciiTheme="minorEastAsia" w:hAnsiTheme="minorEastAsia"/>
          <w:kern w:val="0"/>
          <w:sz w:val="24"/>
          <w:szCs w:val="24"/>
        </w:rPr>
        <w:t>自成立以来严格遵守《中华人民共和国劳动法》、《中华人民共和国劳动合同法》等劳动和社会保障</w:t>
      </w:r>
      <w:r>
        <w:rPr>
          <w:rFonts w:hint="eastAsia" w:cs="Times New Roman" w:asciiTheme="minorEastAsia" w:hAnsiTheme="minorEastAsia"/>
          <w:kern w:val="0"/>
          <w:sz w:val="24"/>
          <w:szCs w:val="24"/>
        </w:rPr>
        <w:t>方面</w:t>
      </w:r>
      <w:r>
        <w:rPr>
          <w:rFonts w:cs="Times New Roman" w:asciiTheme="minorEastAsia" w:hAnsiTheme="minorEastAsia"/>
          <w:kern w:val="0"/>
          <w:sz w:val="24"/>
          <w:szCs w:val="24"/>
        </w:rPr>
        <w:t>的法律、法规和规章</w:t>
      </w:r>
      <w:r>
        <w:rPr>
          <w:rFonts w:hint="eastAsia" w:asciiTheme="minorEastAsia" w:hAnsiTheme="minorEastAsia"/>
          <w:sz w:val="24"/>
          <w:szCs w:val="24"/>
        </w:rPr>
        <w:t>。</w:t>
      </w:r>
      <w:r>
        <w:rPr>
          <w:rFonts w:asciiTheme="minorEastAsia" w:hAnsiTheme="minorEastAsia"/>
          <w:sz w:val="24"/>
          <w:szCs w:val="24"/>
        </w:rPr>
        <w:t>实行劳动合同制，与</w:t>
      </w:r>
      <w:r>
        <w:rPr>
          <w:rFonts w:hint="eastAsia" w:asciiTheme="minorEastAsia" w:hAnsiTheme="minorEastAsia"/>
          <w:sz w:val="24"/>
          <w:szCs w:val="24"/>
        </w:rPr>
        <w:t>所有员工</w:t>
      </w:r>
      <w:r>
        <w:rPr>
          <w:rFonts w:asciiTheme="minorEastAsia" w:hAnsiTheme="minorEastAsia"/>
          <w:sz w:val="24"/>
          <w:szCs w:val="24"/>
        </w:rPr>
        <w:t>按照《劳动合同法》的有关规定签订了《劳动合同》，并为员工提供了社会保障计划。目前，公司已根据国家及地方的有关规定，为员工缴纳了养老保险金、工伤保险金、医疗保险金、失业保</w:t>
      </w:r>
      <w:r>
        <w:rPr>
          <w:rFonts w:hint="eastAsia" w:asciiTheme="minorEastAsia" w:hAnsiTheme="minorEastAsia"/>
          <w:sz w:val="24"/>
          <w:szCs w:val="24"/>
        </w:rPr>
        <w:t>险</w:t>
      </w:r>
      <w:r>
        <w:rPr>
          <w:rFonts w:asciiTheme="minorEastAsia" w:hAnsiTheme="minorEastAsia"/>
          <w:sz w:val="24"/>
          <w:szCs w:val="24"/>
        </w:rPr>
        <w:t>金、生育保险金。</w:t>
      </w:r>
      <w:r>
        <w:rPr>
          <w:rFonts w:hint="eastAsia" w:asciiTheme="minorEastAsia" w:hAnsiTheme="minorEastAsia"/>
          <w:sz w:val="24"/>
          <w:szCs w:val="24"/>
        </w:rPr>
        <w:t>员工可享受法定休假、婚假、丧假、产假等带薪假期。公司</w:t>
      </w:r>
      <w:r>
        <w:rPr>
          <w:rFonts w:asciiTheme="minorEastAsia" w:hAnsiTheme="minorEastAsia"/>
          <w:sz w:val="24"/>
          <w:szCs w:val="24"/>
        </w:rPr>
        <w:t>社会保险覆盖面为</w:t>
      </w:r>
      <w:r>
        <w:rPr>
          <w:rFonts w:hint="eastAsia" w:asciiTheme="minorEastAsia" w:hAnsiTheme="minorEastAsia"/>
          <w:sz w:val="24"/>
          <w:szCs w:val="24"/>
        </w:rPr>
        <w:t>100</w:t>
      </w:r>
      <w:r>
        <w:rPr>
          <w:rFonts w:asciiTheme="minorEastAsia" w:hAnsiTheme="minorEastAsia"/>
          <w:sz w:val="24"/>
          <w:szCs w:val="24"/>
        </w:rPr>
        <w:t>%，劳动合同</w:t>
      </w:r>
      <w:r>
        <w:rPr>
          <w:rFonts w:hint="eastAsia" w:asciiTheme="minorEastAsia" w:hAnsiTheme="minorEastAsia"/>
          <w:sz w:val="24"/>
          <w:szCs w:val="24"/>
        </w:rPr>
        <w:t>签订</w:t>
      </w:r>
      <w:r>
        <w:rPr>
          <w:rFonts w:asciiTheme="minorEastAsia" w:hAnsiTheme="minorEastAsia"/>
          <w:sz w:val="24"/>
          <w:szCs w:val="24"/>
        </w:rPr>
        <w:t>率为</w:t>
      </w:r>
      <w:r>
        <w:rPr>
          <w:rFonts w:hint="eastAsia" w:asciiTheme="minorEastAsia" w:hAnsiTheme="minorEastAsia"/>
          <w:sz w:val="24"/>
          <w:szCs w:val="24"/>
        </w:rPr>
        <w:t>100</w:t>
      </w:r>
      <w:r>
        <w:rPr>
          <w:rFonts w:asciiTheme="minorEastAsia" w:hAnsiTheme="minorEastAsia"/>
          <w:sz w:val="24"/>
          <w:szCs w:val="24"/>
        </w:rPr>
        <w:t>%。</w:t>
      </w:r>
      <w:r>
        <w:rPr>
          <w:rFonts w:hint="eastAsia" w:asciiTheme="minorEastAsia" w:hAnsiTheme="minorEastAsia"/>
          <w:sz w:val="24"/>
          <w:szCs w:val="24"/>
        </w:rPr>
        <w:t>同时，员工享有外出参观学习、发放过</w:t>
      </w:r>
      <w:r>
        <w:rPr>
          <w:rFonts w:hint="eastAsia" w:cs="Times New Roman" w:asciiTheme="minorEastAsia" w:hAnsiTheme="minorEastAsia"/>
          <w:kern w:val="0"/>
          <w:sz w:val="24"/>
          <w:szCs w:val="24"/>
        </w:rPr>
        <w:t>节福利、防暑降温药品等福利。公司</w:t>
      </w:r>
      <w:r>
        <w:rPr>
          <w:rFonts w:cs="Times New Roman" w:asciiTheme="minorEastAsia" w:hAnsiTheme="minorEastAsia"/>
          <w:kern w:val="0"/>
          <w:sz w:val="24"/>
          <w:szCs w:val="24"/>
        </w:rPr>
        <w:t>不断完善员工反映问题和</w:t>
      </w:r>
      <w:r>
        <w:rPr>
          <w:rFonts w:hint="eastAsia" w:cs="Times New Roman" w:asciiTheme="minorEastAsia" w:hAnsiTheme="minorEastAsia"/>
          <w:kern w:val="0"/>
          <w:sz w:val="24"/>
          <w:szCs w:val="24"/>
        </w:rPr>
        <w:t>诉求</w:t>
      </w:r>
      <w:r>
        <w:rPr>
          <w:rFonts w:cs="Times New Roman" w:asciiTheme="minorEastAsia" w:hAnsiTheme="minorEastAsia"/>
          <w:kern w:val="0"/>
          <w:sz w:val="24"/>
          <w:szCs w:val="24"/>
        </w:rPr>
        <w:t>的渠道及处理机制</w:t>
      </w:r>
      <w:r>
        <w:rPr>
          <w:rFonts w:hint="eastAsia" w:cs="Times New Roman" w:asciiTheme="minorEastAsia" w:hAnsiTheme="minorEastAsia"/>
          <w:kern w:val="0"/>
          <w:sz w:val="24"/>
          <w:szCs w:val="24"/>
        </w:rPr>
        <w:t>。员工可</w:t>
      </w:r>
      <w:r>
        <w:rPr>
          <w:rFonts w:cs="Times New Roman" w:asciiTheme="minorEastAsia" w:hAnsiTheme="minorEastAsia"/>
          <w:kern w:val="0"/>
          <w:sz w:val="24"/>
          <w:szCs w:val="24"/>
        </w:rPr>
        <w:t>通过电话、微信</w:t>
      </w:r>
      <w:r>
        <w:rPr>
          <w:rFonts w:hint="eastAsia" w:cs="Times New Roman" w:asciiTheme="minorEastAsia" w:hAnsiTheme="minorEastAsia"/>
          <w:kern w:val="0"/>
          <w:sz w:val="24"/>
          <w:szCs w:val="24"/>
        </w:rPr>
        <w:t>等</w:t>
      </w:r>
      <w:r>
        <w:rPr>
          <w:rFonts w:cs="Times New Roman" w:asciiTheme="minorEastAsia" w:hAnsiTheme="minorEastAsia"/>
          <w:kern w:val="0"/>
          <w:sz w:val="24"/>
          <w:szCs w:val="24"/>
        </w:rPr>
        <w:t>渠道，反映</w:t>
      </w:r>
      <w:r>
        <w:rPr>
          <w:rFonts w:hint="eastAsia" w:cs="Times New Roman" w:asciiTheme="minorEastAsia" w:hAnsiTheme="minorEastAsia"/>
          <w:kern w:val="0"/>
          <w:sz w:val="24"/>
          <w:szCs w:val="24"/>
        </w:rPr>
        <w:t>他们</w:t>
      </w:r>
      <w:r>
        <w:rPr>
          <w:rFonts w:cs="Times New Roman" w:asciiTheme="minorEastAsia" w:hAnsiTheme="minorEastAsia"/>
          <w:kern w:val="0"/>
          <w:sz w:val="24"/>
          <w:szCs w:val="24"/>
        </w:rPr>
        <w:t>遇到或可能发生的问题。公司</w:t>
      </w:r>
      <w:r>
        <w:rPr>
          <w:rFonts w:hint="eastAsia" w:cs="Times New Roman" w:asciiTheme="minorEastAsia" w:hAnsiTheme="minorEastAsia"/>
          <w:kern w:val="0"/>
          <w:sz w:val="24"/>
          <w:szCs w:val="24"/>
        </w:rPr>
        <w:t>高度</w:t>
      </w:r>
      <w:r>
        <w:rPr>
          <w:rFonts w:cs="Times New Roman" w:asciiTheme="minorEastAsia" w:hAnsiTheme="minorEastAsia"/>
          <w:kern w:val="0"/>
          <w:sz w:val="24"/>
          <w:szCs w:val="24"/>
        </w:rPr>
        <w:t>重视员工申述</w:t>
      </w:r>
      <w:r>
        <w:rPr>
          <w:rFonts w:hint="eastAsia" w:cs="Times New Roman" w:asciiTheme="minorEastAsia" w:hAnsiTheme="minorEastAsia"/>
          <w:kern w:val="0"/>
          <w:sz w:val="24"/>
          <w:szCs w:val="24"/>
        </w:rPr>
        <w:t>事件</w:t>
      </w:r>
      <w:r>
        <w:rPr>
          <w:rFonts w:cs="Times New Roman" w:asciiTheme="minorEastAsia" w:hAnsiTheme="minorEastAsia"/>
          <w:kern w:val="0"/>
          <w:sz w:val="24"/>
          <w:szCs w:val="24"/>
        </w:rPr>
        <w:t>，保证处理程序正当、依据明确</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结果恰当，保障了员工的合法权益。</w:t>
      </w:r>
    </w:p>
    <w:p>
      <w:pPr>
        <w:topLinePunct/>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还特别关注一些特殊群体的需求，如关注女性员工的工作环境、工作时间、工作强度以及长期性的职业发展、公平机会等因素；针对现在越来越多的80后、90后群体的特质给予更多的关注，为其制定职业生涯规划，明确发展通道，开展师带徒手把手指导和专项培训，给予更高工作目标，提高其业务技能和个体素质；针对家庭有困难的员工，公司通过基金会予以大力帮助和支持，董事长亲自出面联系优质医疗资源、教育资源，视员工为亲人，不断提升员工归属感。</w:t>
      </w:r>
    </w:p>
    <w:p>
      <w:pPr>
        <w:topLinePunct/>
        <w:spacing w:after="156" w:afterLines="50" w:line="276" w:lineRule="auto"/>
        <w:ind w:firstLine="420"/>
        <w:jc w:val="left"/>
        <w:rPr>
          <w:rFonts w:ascii="宋体" w:hAnsi="宋体" w:eastAsia="宋体" w:cs="Times New Roman"/>
          <w:b/>
          <w:kern w:val="0"/>
          <w:sz w:val="24"/>
          <w:szCs w:val="24"/>
          <w:lang w:val="zh-CN"/>
        </w:rPr>
      </w:pPr>
      <w:r>
        <w:rPr>
          <w:rFonts w:cs="Times New Roman" w:asciiTheme="minorEastAsia" w:hAnsiTheme="minorEastAsia"/>
          <w:kern w:val="0"/>
          <w:sz w:val="24"/>
          <w:szCs w:val="24"/>
        </w:rPr>
        <w:t>公司通过各种方式，如国庆、</w:t>
      </w:r>
      <w:r>
        <w:rPr>
          <w:rFonts w:hint="eastAsia" w:cs="Times New Roman" w:asciiTheme="minorEastAsia" w:hAnsiTheme="minorEastAsia"/>
          <w:kern w:val="0"/>
          <w:sz w:val="24"/>
          <w:szCs w:val="24"/>
        </w:rPr>
        <w:t>五一</w:t>
      </w:r>
      <w:r>
        <w:rPr>
          <w:rFonts w:cs="Times New Roman" w:asciiTheme="minorEastAsia" w:hAnsiTheme="minorEastAsia"/>
          <w:kern w:val="0"/>
          <w:sz w:val="24"/>
          <w:szCs w:val="24"/>
        </w:rPr>
        <w:t>文体活动等，丰富员工的工作和业余生活，构造和谐工作环境，激发员工爱心、积极性和创造性，促进公司和谐发展。</w:t>
      </w:r>
    </w:p>
    <w:p>
      <w:pPr>
        <w:topLinePunct/>
        <w:spacing w:line="360" w:lineRule="auto"/>
        <w:ind w:firstLine="480" w:firstLineChars="200"/>
        <w:rPr>
          <w:rFonts w:ascii="宋体" w:hAnsi="宋体" w:eastAsia="宋体" w:cs="Helvetica"/>
          <w:b/>
          <w:bCs/>
          <w:color w:val="000000" w:themeColor="text1"/>
          <w:kern w:val="0"/>
          <w:sz w:val="24"/>
          <w:szCs w:val="24"/>
          <w:lang w:val="en"/>
          <w14:textFill>
            <w14:solidFill>
              <w14:schemeClr w14:val="tx1"/>
            </w14:solidFill>
          </w14:textFill>
        </w:rPr>
      </w:pPr>
      <w:r>
        <w:rPr>
          <w:rFonts w:cs="Times New Roman" w:asciiTheme="minorEastAsia" w:hAnsiTheme="minorEastAsia"/>
          <w:color w:val="000000"/>
          <w:sz w:val="24"/>
          <w:szCs w:val="24"/>
        </w:rPr>
        <w:t>公司高层领导通过短信/微信平台、合理化建议、员工满意度调查、员工座谈会、下基层参加部门例会、娱乐活动、午餐会等形式，调查、了解员工意见和建议，获取员工满意度信息。明确的问题由行政部负责跟踪督办，要求各相关职能部门在规定时间内进行处理。高层领导注重现场了解情况并在承诺时间内及时做出积极的反馈和处理。</w:t>
      </w:r>
      <w:bookmarkStart w:id="28" w:name="_Toc451610900"/>
      <w:bookmarkStart w:id="29" w:name="_Toc451610993"/>
    </w:p>
    <w:p>
      <w:pPr>
        <w:widowControl/>
        <w:shd w:val="clear" w:color="auto" w:fill="FFFFFF"/>
        <w:spacing w:line="276" w:lineRule="auto"/>
        <w:jc w:val="left"/>
        <w:outlineLvl w:val="1"/>
        <w:rPr>
          <w:rFonts w:ascii="宋体" w:hAnsi="宋体" w:eastAsia="宋体" w:cs="Helvetica"/>
          <w:b/>
          <w:bCs/>
          <w:color w:val="000000" w:themeColor="text1"/>
          <w:kern w:val="0"/>
          <w:sz w:val="24"/>
          <w:szCs w:val="24"/>
          <w:lang w:val="en"/>
          <w14:textFill>
            <w14:solidFill>
              <w14:schemeClr w14:val="tx1"/>
            </w14:solidFill>
          </w14:textFill>
        </w:rPr>
      </w:pPr>
      <w:r>
        <w:rPr>
          <w:rFonts w:hint="eastAsia" w:ascii="宋体" w:hAnsi="宋体" w:eastAsia="宋体" w:cs="Helvetica"/>
          <w:b/>
          <w:bCs/>
          <w:color w:val="000000" w:themeColor="text1"/>
          <w:kern w:val="0"/>
          <w:sz w:val="24"/>
          <w:szCs w:val="24"/>
          <w:lang w:val="en"/>
          <w14:textFill>
            <w14:solidFill>
              <w14:schemeClr w14:val="tx1"/>
            </w14:solidFill>
          </w14:textFill>
        </w:rPr>
        <w:t>（四）</w:t>
      </w:r>
      <w:r>
        <w:rPr>
          <w:rFonts w:hint="eastAsia" w:ascii="宋体" w:hAnsi="宋体" w:eastAsia="宋体" w:cs="Helvetica"/>
          <w:b/>
          <w:bCs/>
          <w:color w:val="000000" w:themeColor="text1"/>
          <w:kern w:val="0"/>
          <w:sz w:val="24"/>
          <w:szCs w:val="24"/>
          <w:highlight w:val="none"/>
          <w:lang w:val="en"/>
          <w14:textFill>
            <w14:solidFill>
              <w14:schemeClr w14:val="tx1"/>
            </w14:solidFill>
          </w14:textFill>
        </w:rPr>
        <w:t>社会荣誉</w:t>
      </w:r>
      <w:bookmarkEnd w:id="28"/>
      <w:bookmarkEnd w:id="29"/>
    </w:p>
    <w:tbl>
      <w:tblPr>
        <w:tblStyle w:val="38"/>
        <w:tblW w:w="4998" w:type="pct"/>
        <w:jc w:val="center"/>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Layout w:type="autofit"/>
        <w:tblCellMar>
          <w:top w:w="0" w:type="dxa"/>
          <w:left w:w="108" w:type="dxa"/>
          <w:bottom w:w="0" w:type="dxa"/>
          <w:right w:w="108" w:type="dxa"/>
        </w:tblCellMar>
      </w:tblPr>
      <w:tblGrid>
        <w:gridCol w:w="1740"/>
        <w:gridCol w:w="6779"/>
      </w:tblGrid>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shd w:val="clear" w:color="auto" w:fill="F79646"/>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lang w:val="zh-CN"/>
              </w:rPr>
            </w:pPr>
            <w:r>
              <w:rPr>
                <w:rFonts w:hint="eastAsia" w:ascii="宋体" w:hAnsi="宋体" w:cs="宋体"/>
                <w:b/>
                <w:bCs/>
                <w:kern w:val="0"/>
                <w:sz w:val="18"/>
                <w:szCs w:val="18"/>
                <w:lang w:val="zh-CN"/>
              </w:rPr>
              <w:t>序号</w:t>
            </w:r>
          </w:p>
        </w:tc>
        <w:tc>
          <w:tcPr>
            <w:tcW w:w="3978" w:type="pct"/>
            <w:shd w:val="clear" w:color="auto" w:fill="F79646"/>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lang w:val="zh-CN"/>
              </w:rPr>
            </w:pPr>
            <w:r>
              <w:rPr>
                <w:rFonts w:hint="eastAsia" w:ascii="宋体" w:hAnsi="宋体" w:cs="宋体"/>
                <w:b/>
                <w:bCs/>
                <w:kern w:val="0"/>
                <w:sz w:val="18"/>
                <w:szCs w:val="18"/>
                <w:lang w:val="zh-CN"/>
              </w:rPr>
              <w:t>荣誉名称</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432"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1</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2005年度企业资信等级AAA级</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432"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2</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zh-CN" w:eastAsia="zh-CN" w:bidi="ar-SA"/>
              </w:rPr>
            </w:pPr>
            <w:r>
              <w:rPr>
                <w:rFonts w:hint="eastAsia" w:ascii="宋体" w:hAnsi="宋体" w:cs="宋体"/>
                <w:kern w:val="0"/>
                <w:sz w:val="18"/>
                <w:szCs w:val="18"/>
                <w:lang w:val="en-US" w:eastAsia="zh-CN"/>
              </w:rPr>
              <w:t>2006年度企业资信等级AAA级</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432"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3</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zh-CN" w:eastAsia="zh-CN" w:bidi="ar-SA"/>
              </w:rPr>
            </w:pPr>
            <w:r>
              <w:rPr>
                <w:rFonts w:hint="eastAsia" w:ascii="宋体" w:hAnsi="宋体" w:cs="宋体"/>
                <w:kern w:val="0"/>
                <w:sz w:val="18"/>
                <w:szCs w:val="18"/>
                <w:lang w:val="en-US" w:eastAsia="zh-CN"/>
              </w:rPr>
              <w:t>2007年度企业资信等级AAA级</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4</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2008年度先进企业</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5</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zh-CN" w:eastAsia="zh-CN" w:bidi="ar-SA"/>
              </w:rPr>
            </w:pPr>
            <w:r>
              <w:rPr>
                <w:rFonts w:hint="eastAsia" w:ascii="宋体" w:hAnsi="宋体" w:cs="宋体"/>
                <w:kern w:val="0"/>
                <w:sz w:val="18"/>
                <w:szCs w:val="18"/>
                <w:lang w:val="en-US" w:eastAsia="zh-CN"/>
              </w:rPr>
              <w:t>2012年度产值超亿元企业</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6</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2013年三级安全生产标准化</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7</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lang w:val="zh-CN"/>
              </w:rPr>
              <w:t>2013年度节能降耗工作先进集体</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8</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zh-CN" w:eastAsia="zh-CN" w:bidi="ar-SA"/>
              </w:rPr>
            </w:pPr>
            <w:r>
              <w:rPr>
                <w:rFonts w:hint="default" w:ascii="宋体" w:hAnsi="宋体" w:cs="宋体" w:eastAsiaTheme="minorEastAsia"/>
                <w:kern w:val="0"/>
                <w:sz w:val="18"/>
                <w:szCs w:val="18"/>
                <w:lang w:val="en-US" w:eastAsia="zh-CN"/>
              </w:rPr>
              <w:t>2014年度安全生产工作先进单位</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9</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2015年</w:t>
            </w:r>
            <w:r>
              <w:rPr>
                <w:rFonts w:hint="default" w:ascii="宋体" w:hAnsi="宋体" w:cs="宋体" w:eastAsiaTheme="minorEastAsia"/>
                <w:kern w:val="0"/>
                <w:sz w:val="18"/>
                <w:szCs w:val="18"/>
                <w:lang w:val="en-US" w:eastAsia="zh-CN"/>
              </w:rPr>
              <w:t>"煤改气”试点工作先进单位</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10</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zh-CN" w:eastAsia="zh-CN" w:bidi="ar-SA"/>
              </w:rPr>
            </w:pPr>
            <w:r>
              <w:rPr>
                <w:rFonts w:hint="eastAsia" w:ascii="宋体" w:hAnsi="宋体" w:cs="宋体"/>
                <w:kern w:val="0"/>
                <w:sz w:val="18"/>
                <w:szCs w:val="18"/>
                <w:lang w:val="zh-CN"/>
              </w:rPr>
              <w:t>2015年度工业企业生态化改造先进单位</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11</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zh-CN" w:eastAsia="zh-CN" w:bidi="ar-SA"/>
              </w:rPr>
            </w:pPr>
            <w:r>
              <w:rPr>
                <w:rFonts w:hint="eastAsia" w:ascii="宋体" w:hAnsi="宋体" w:cs="宋体"/>
                <w:kern w:val="0"/>
                <w:sz w:val="18"/>
                <w:szCs w:val="18"/>
                <w:lang w:val="en-US" w:eastAsia="zh-CN"/>
              </w:rPr>
              <w:t>2022年度20强工业企业</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12</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zh-CN" w:eastAsia="zh-CN" w:bidi="ar-SA"/>
              </w:rPr>
            </w:pPr>
            <w:r>
              <w:rPr>
                <w:rFonts w:hint="eastAsia" w:ascii="宋体" w:hAnsi="宋体" w:cs="宋体"/>
                <w:kern w:val="0"/>
                <w:sz w:val="18"/>
                <w:szCs w:val="18"/>
                <w:lang w:val="zh-CN"/>
              </w:rPr>
              <w:t>2016年度安全生产工作先进单位</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13</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zh-CN" w:eastAsia="zh-CN" w:bidi="ar-SA"/>
              </w:rPr>
            </w:pPr>
            <w:r>
              <w:rPr>
                <w:rFonts w:hint="eastAsia" w:ascii="宋体" w:hAnsi="宋体" w:cs="宋体"/>
                <w:kern w:val="0"/>
                <w:sz w:val="18"/>
                <w:szCs w:val="18"/>
                <w:lang w:val="zh-CN"/>
              </w:rPr>
              <w:t>2018年度安全生产工作先进单位</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14</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zh-CN" w:eastAsia="zh-CN" w:bidi="ar-SA"/>
              </w:rPr>
            </w:pPr>
            <w:r>
              <w:rPr>
                <w:rFonts w:hint="eastAsia" w:ascii="宋体" w:hAnsi="宋体" w:cs="宋体"/>
                <w:kern w:val="0"/>
                <w:sz w:val="18"/>
                <w:szCs w:val="18"/>
                <w:lang w:val="en-US" w:eastAsia="zh-CN"/>
              </w:rPr>
              <w:t>2018年</w:t>
            </w:r>
            <w:r>
              <w:rPr>
                <w:rFonts w:hint="eastAsia" w:ascii="宋体" w:hAnsi="宋体" w:cs="宋体"/>
                <w:kern w:val="0"/>
                <w:sz w:val="18"/>
                <w:szCs w:val="18"/>
                <w:lang w:val="zh-CN"/>
              </w:rPr>
              <w:t>浙江省科技型中小企业</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15</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zh-CN" w:eastAsia="zh-CN" w:bidi="ar-SA"/>
              </w:rPr>
            </w:pPr>
            <w:r>
              <w:rPr>
                <w:rFonts w:hint="default" w:ascii="宋体" w:hAnsi="宋体" w:cs="宋体" w:eastAsiaTheme="minorEastAsia"/>
                <w:kern w:val="0"/>
                <w:sz w:val="18"/>
                <w:szCs w:val="18"/>
                <w:lang w:val="en-US" w:eastAsia="zh-CN"/>
              </w:rPr>
              <w:t>2020年度环保工作先进单位</w:t>
            </w:r>
          </w:p>
        </w:tc>
      </w:tr>
      <w:tr>
        <w:tblPrEx>
          <w:tblBorders>
            <w:top w:val="thinThickThinSmallGap" w:color="00B050" w:sz="24" w:space="0"/>
            <w:left w:val="none" w:color="auto" w:sz="0" w:space="0"/>
            <w:bottom w:val="thinThickThin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529" w:hRule="atLeast"/>
          <w:jc w:val="center"/>
        </w:trPr>
        <w:tc>
          <w:tcPr>
            <w:tcW w:w="1021" w:type="pct"/>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16</w:t>
            </w:r>
          </w:p>
        </w:tc>
        <w:tc>
          <w:tcPr>
            <w:tcW w:w="3978"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18"/>
                <w:szCs w:val="18"/>
                <w:lang w:val="zh-CN" w:eastAsia="zh-CN" w:bidi="ar-SA"/>
              </w:rPr>
            </w:pPr>
            <w:r>
              <w:rPr>
                <w:rFonts w:hint="eastAsia" w:ascii="宋体" w:hAnsi="宋体" w:cs="宋体"/>
                <w:kern w:val="0"/>
                <w:sz w:val="18"/>
                <w:szCs w:val="18"/>
                <w:lang w:val="en-US" w:eastAsia="zh-CN"/>
              </w:rPr>
              <w:t>2019~至今</w:t>
            </w:r>
            <w:bookmarkStart w:id="32" w:name="_GoBack"/>
            <w:bookmarkEnd w:id="32"/>
            <w:r>
              <w:rPr>
                <w:rFonts w:hint="eastAsia" w:ascii="宋体" w:hAnsi="宋体" w:cs="宋体"/>
                <w:kern w:val="0"/>
                <w:sz w:val="18"/>
                <w:szCs w:val="18"/>
                <w:lang w:val="en-US" w:eastAsia="zh-CN"/>
              </w:rPr>
              <w:t>年国家高新技术企业</w:t>
            </w:r>
          </w:p>
        </w:tc>
      </w:tr>
    </w:tbl>
    <w:p>
      <w:pPr>
        <w:spacing w:before="156" w:beforeLines="50" w:after="156" w:afterLines="50" w:line="276" w:lineRule="auto"/>
        <w:outlineLvl w:val="0"/>
        <w:rPr>
          <w:rFonts w:cs="Times New Roman" w:asciiTheme="majorEastAsia" w:hAnsiTheme="majorEastAsia" w:eastAsiaTheme="majorEastAsia"/>
          <w:b/>
          <w:color w:val="000000" w:themeColor="text1"/>
          <w:sz w:val="28"/>
          <w:szCs w:val="24"/>
          <w14:textFill>
            <w14:solidFill>
              <w14:schemeClr w14:val="tx1"/>
            </w14:solidFill>
          </w14:textFill>
        </w:rPr>
      </w:pPr>
      <w:r>
        <w:rPr>
          <w:rFonts w:hint="eastAsia" w:cs="Times New Roman" w:asciiTheme="majorEastAsia" w:hAnsiTheme="majorEastAsia" w:eastAsiaTheme="majorEastAsia"/>
          <w:b/>
          <w:color w:val="000000" w:themeColor="text1"/>
          <w:sz w:val="28"/>
          <w:szCs w:val="24"/>
          <w14:textFill>
            <w14:solidFill>
              <w14:schemeClr w14:val="tx1"/>
            </w14:solidFill>
          </w14:textFill>
        </w:rPr>
        <w:t>五、环境责任</w:t>
      </w:r>
    </w:p>
    <w:p>
      <w:pPr>
        <w:spacing w:line="360" w:lineRule="auto"/>
        <w:ind w:firstLine="480" w:firstLineChars="200"/>
        <w:rPr>
          <w:rFonts w:ascii="宋体" w:hAnsi="宋体" w:eastAsia="宋体" w:cs="Times New Roman"/>
          <w:kern w:val="0"/>
          <w:sz w:val="24"/>
          <w:szCs w:val="24"/>
          <w:lang w:val="zh-CN"/>
        </w:rPr>
      </w:pPr>
      <w:r>
        <w:rPr>
          <w:rFonts w:cs="Times New Roman" w:asciiTheme="minorEastAsia" w:hAnsiTheme="minorEastAsia"/>
          <w:kern w:val="0"/>
          <w:sz w:val="24"/>
          <w:szCs w:val="24"/>
          <w:lang w:val="zh-CN"/>
        </w:rPr>
        <w:t>公司坚持“</w:t>
      </w:r>
      <w:r>
        <w:rPr>
          <w:rFonts w:hint="eastAsia" w:cs="Times New Roman" w:asciiTheme="minorEastAsia" w:hAnsiTheme="minorEastAsia"/>
          <w:kern w:val="0"/>
          <w:sz w:val="24"/>
          <w:szCs w:val="24"/>
          <w:lang w:val="zh-CN"/>
        </w:rPr>
        <w:t>低碳环保 清洁循环 节约增效 数实融合</w:t>
      </w:r>
      <w:r>
        <w:rPr>
          <w:rFonts w:cs="Times New Roman" w:asciiTheme="minorEastAsia" w:hAnsiTheme="minorEastAsia"/>
          <w:kern w:val="0"/>
          <w:sz w:val="24"/>
          <w:szCs w:val="24"/>
          <w:lang w:val="zh-CN"/>
        </w:rPr>
        <w:t>”的环保方针，通过不断改进技术与工艺</w:t>
      </w:r>
      <w:r>
        <w:rPr>
          <w:rFonts w:hint="eastAsia" w:cs="Times New Roman" w:asciiTheme="minorEastAsia" w:hAnsiTheme="minorEastAsia"/>
          <w:kern w:val="0"/>
          <w:sz w:val="24"/>
          <w:szCs w:val="24"/>
          <w:lang w:val="zh-CN"/>
        </w:rPr>
        <w:t>,更换零部件</w:t>
      </w:r>
      <w:r>
        <w:rPr>
          <w:rFonts w:cs="Times New Roman" w:asciiTheme="minorEastAsia" w:hAnsiTheme="minorEastAsia"/>
          <w:kern w:val="0"/>
          <w:sz w:val="24"/>
          <w:szCs w:val="24"/>
          <w:lang w:val="zh-CN"/>
        </w:rPr>
        <w:t>，强化管理，减少各种废弃物的产生，保证各种污染物达标排放；通过节能降耗，不断提升能源、资源的使用效率；通过加强环保方面的培训，确保每一位员工认知日常工作生活行为对环境的影响</w:t>
      </w:r>
      <w:r>
        <w:rPr>
          <w:rFonts w:ascii="宋体" w:hAnsi="宋体" w:eastAsia="宋体" w:cs="Times New Roman"/>
          <w:kern w:val="0"/>
          <w:sz w:val="24"/>
          <w:szCs w:val="24"/>
          <w:lang w:val="zh-CN"/>
        </w:rPr>
        <w:t>。</w:t>
      </w:r>
    </w:p>
    <w:p>
      <w:pPr>
        <w:spacing w:before="156" w:beforeLines="50" w:after="156" w:afterLines="50" w:line="276" w:lineRule="auto"/>
        <w:outlineLvl w:val="1"/>
        <w:rPr>
          <w:rFonts w:ascii="宋体" w:hAnsi="宋体" w:eastAsia="宋体" w:cs="Times New Roman"/>
          <w:b/>
          <w:sz w:val="24"/>
          <w:szCs w:val="24"/>
        </w:rPr>
      </w:pPr>
      <w:bookmarkStart w:id="30" w:name="_Toc451610902"/>
      <w:bookmarkStart w:id="31" w:name="_Toc451610995"/>
      <w:r>
        <w:rPr>
          <w:rFonts w:hint="eastAsia" w:ascii="宋体" w:hAnsi="宋体" w:eastAsia="宋体" w:cs="Times New Roman"/>
          <w:b/>
          <w:sz w:val="24"/>
          <w:szCs w:val="24"/>
        </w:rPr>
        <w:t>（一）环境保护</w:t>
      </w:r>
      <w:bookmarkEnd w:id="30"/>
      <w:bookmarkEnd w:id="31"/>
    </w:p>
    <w:p>
      <w:pPr>
        <w:spacing w:line="360" w:lineRule="auto"/>
        <w:ind w:firstLine="480" w:firstLineChars="200"/>
        <w:rPr>
          <w:rFonts w:cs="Times New Roman" w:asciiTheme="minorEastAsia" w:hAnsiTheme="minorEastAsia"/>
          <w:kern w:val="0"/>
          <w:sz w:val="24"/>
          <w:szCs w:val="24"/>
          <w:lang w:val="zh-CN"/>
        </w:rPr>
      </w:pPr>
      <w:r>
        <w:rPr>
          <w:rFonts w:cs="Times New Roman" w:asciiTheme="minorEastAsia" w:hAnsiTheme="minorEastAsia"/>
          <w:kern w:val="0"/>
          <w:sz w:val="24"/>
          <w:szCs w:val="24"/>
          <w:lang w:val="zh-CN"/>
        </w:rPr>
        <w:t>公司产品及生产、运营过程对环境污染、社会风险不良影响较小，但公司仍非常重视环境影响控制，严格贯彻国家相关法律法规，颁布并实施了《</w:t>
      </w:r>
      <w:r>
        <w:rPr>
          <w:rFonts w:hint="eastAsia" w:cs="Times New Roman" w:asciiTheme="minorEastAsia" w:hAnsiTheme="minorEastAsia"/>
          <w:kern w:val="0"/>
          <w:sz w:val="24"/>
          <w:szCs w:val="24"/>
          <w:lang w:val="zh-CN"/>
        </w:rPr>
        <w:t>环境管理</w:t>
      </w:r>
      <w:r>
        <w:rPr>
          <w:rFonts w:cs="Times New Roman" w:asciiTheme="minorEastAsia" w:hAnsiTheme="minorEastAsia"/>
          <w:kern w:val="0"/>
          <w:sz w:val="24"/>
          <w:szCs w:val="24"/>
          <w:lang w:val="zh-CN"/>
        </w:rPr>
        <w:t>规定》</w:t>
      </w:r>
      <w:r>
        <w:rPr>
          <w:rFonts w:hint="eastAsia" w:cs="Times New Roman" w:asciiTheme="minorEastAsia" w:hAnsiTheme="minorEastAsia"/>
          <w:kern w:val="0"/>
          <w:sz w:val="24"/>
          <w:szCs w:val="24"/>
          <w:lang w:val="zh-CN"/>
        </w:rPr>
        <w:t>、</w:t>
      </w:r>
      <w:r>
        <w:rPr>
          <w:rFonts w:cs="Times New Roman" w:asciiTheme="minorEastAsia" w:hAnsiTheme="minorEastAsia"/>
          <w:kern w:val="0"/>
          <w:sz w:val="24"/>
          <w:szCs w:val="24"/>
          <w:lang w:val="zh-CN"/>
        </w:rPr>
        <w:t>《</w:t>
      </w:r>
      <w:r>
        <w:rPr>
          <w:rFonts w:hint="eastAsia" w:cs="Times New Roman" w:asciiTheme="minorEastAsia" w:hAnsiTheme="minorEastAsia"/>
          <w:kern w:val="0"/>
          <w:sz w:val="24"/>
          <w:szCs w:val="24"/>
          <w:lang w:val="zh-CN"/>
        </w:rPr>
        <w:t>环境</w:t>
      </w:r>
      <w:r>
        <w:rPr>
          <w:rFonts w:cs="Times New Roman" w:asciiTheme="minorEastAsia" w:hAnsiTheme="minorEastAsia"/>
          <w:kern w:val="0"/>
          <w:sz w:val="24"/>
          <w:szCs w:val="24"/>
          <w:lang w:val="zh-CN"/>
        </w:rPr>
        <w:t>和安全不合格项控制程序》</w:t>
      </w:r>
      <w:r>
        <w:rPr>
          <w:rFonts w:hint="eastAsia" w:cs="Times New Roman" w:asciiTheme="minorEastAsia" w:hAnsiTheme="minorEastAsia"/>
          <w:kern w:val="0"/>
          <w:sz w:val="24"/>
          <w:szCs w:val="24"/>
          <w:lang w:val="zh-CN"/>
        </w:rPr>
        <w:t>、</w:t>
      </w:r>
      <w:r>
        <w:rPr>
          <w:rFonts w:cs="Times New Roman" w:asciiTheme="minorEastAsia" w:hAnsiTheme="minorEastAsia"/>
          <w:kern w:val="0"/>
          <w:sz w:val="24"/>
          <w:szCs w:val="24"/>
          <w:lang w:val="zh-CN"/>
        </w:rPr>
        <w:t>《</w:t>
      </w:r>
      <w:r>
        <w:rPr>
          <w:rFonts w:hint="eastAsia" w:cs="Times New Roman" w:asciiTheme="minorEastAsia" w:hAnsiTheme="minorEastAsia"/>
          <w:kern w:val="0"/>
          <w:sz w:val="24"/>
          <w:szCs w:val="24"/>
          <w:lang w:val="zh-CN"/>
        </w:rPr>
        <w:t>环境</w:t>
      </w:r>
      <w:r>
        <w:rPr>
          <w:rFonts w:cs="Times New Roman" w:asciiTheme="minorEastAsia" w:hAnsiTheme="minorEastAsia"/>
          <w:kern w:val="0"/>
          <w:sz w:val="24"/>
          <w:szCs w:val="24"/>
          <w:lang w:val="zh-CN"/>
        </w:rPr>
        <w:t>因素识别与评价程序》等制度和管理办法，公司制定了节能管理制度，采用节能设备；制定资源回收利用制度，对可利用资源进行回收利用。</w:t>
      </w:r>
    </w:p>
    <w:p>
      <w:pPr>
        <w:pStyle w:val="86"/>
        <w:ind w:firstLine="48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三年来，无环境污染事故，各污染源稳定达标排放，各类环境治理设施运转正常，公司产品的生产过程中不存在重污染的情况，对于生产过程中的废水、废气、固体废弃物和噪音问题，公司已采取了适当的环保措施，对周边环境的影响很小。</w:t>
      </w:r>
    </w:p>
    <w:p>
      <w:pPr>
        <w:pStyle w:val="86"/>
        <w:numPr>
          <w:ilvl w:val="0"/>
          <w:numId w:val="2"/>
        </w:numPr>
        <w:ind w:firstLineChars="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废气及其处理措施</w:t>
      </w:r>
    </w:p>
    <w:p>
      <w:pPr>
        <w:pStyle w:val="86"/>
        <w:ind w:firstLine="48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公司在生产过程中会产生少量的废气，工艺废气主要为油漆产生的油漆废气，其排放标准执行《大气污染物综合排放标准》（GB16297-1996）中的二级标准，</w:t>
      </w:r>
    </w:p>
    <w:p>
      <w:pPr>
        <w:pStyle w:val="86"/>
        <w:numPr>
          <w:ilvl w:val="0"/>
          <w:numId w:val="2"/>
        </w:numPr>
        <w:ind w:firstLineChars="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废水及其处理措施</w:t>
      </w:r>
    </w:p>
    <w:p>
      <w:pPr>
        <w:pStyle w:val="86"/>
        <w:ind w:firstLine="48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公司生产、生活过程中产生的废水通过废水处理站处理后统一处理。</w:t>
      </w:r>
    </w:p>
    <w:p>
      <w:pPr>
        <w:pStyle w:val="86"/>
        <w:ind w:firstLine="48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③固体废弃物及其处理措施</w:t>
      </w:r>
    </w:p>
    <w:p>
      <w:pPr>
        <w:spacing w:line="360" w:lineRule="auto"/>
        <w:ind w:firstLine="48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固废主要有生活垃圾，边角料及废包装材料。</w:t>
      </w:r>
    </w:p>
    <w:p>
      <w:pPr>
        <w:spacing w:line="360" w:lineRule="auto"/>
        <w:ind w:firstLine="48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 xml:space="preserve">项目产生的生活垃圾由街道组织的环保队统一集中处理；边角料出售给物资回收公司综合利用； </w:t>
      </w:r>
    </w:p>
    <w:p>
      <w:pPr>
        <w:pStyle w:val="86"/>
        <w:ind w:firstLine="48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④噪音及其处理措施</w:t>
      </w:r>
    </w:p>
    <w:p>
      <w:pPr>
        <w:pStyle w:val="86"/>
        <w:ind w:firstLine="48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公司生产过程中的噪音主要是机器设备运转产生的噪音。公司通过使用隔音、吸音材料，减少了噪音对周围环境的影响。</w:t>
      </w:r>
    </w:p>
    <w:p>
      <w:pPr>
        <w:pStyle w:val="86"/>
        <w:ind w:firstLine="48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w:t>
      </w:r>
      <w:r>
        <w:rPr>
          <w:rFonts w:asciiTheme="minorEastAsia" w:hAnsiTheme="minorEastAsia" w:eastAsiaTheme="minorEastAsia"/>
          <w:bCs w:val="0"/>
          <w:kern w:val="0"/>
          <w:lang w:val="zh-CN"/>
        </w:rPr>
        <w:t>4</w:t>
      </w:r>
      <w:r>
        <w:rPr>
          <w:rFonts w:hint="eastAsia" w:asciiTheme="minorEastAsia" w:hAnsiTheme="minorEastAsia" w:eastAsiaTheme="minorEastAsia"/>
          <w:bCs w:val="0"/>
          <w:kern w:val="0"/>
          <w:lang w:val="zh-CN"/>
        </w:rPr>
        <w:t>）道德行为：</w:t>
      </w:r>
    </w:p>
    <w:p>
      <w:pPr>
        <w:pStyle w:val="86"/>
        <w:ind w:firstLine="48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公司在生产经营活动中诚实、守信，获得顾客、供应商、质监、工商、税务等方面的广泛好评。</w:t>
      </w:r>
    </w:p>
    <w:p>
      <w:pPr>
        <w:pStyle w:val="86"/>
        <w:ind w:firstLine="48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w:t>
      </w:r>
      <w:r>
        <w:rPr>
          <w:rFonts w:asciiTheme="minorEastAsia" w:hAnsiTheme="minorEastAsia" w:eastAsiaTheme="minorEastAsia"/>
          <w:bCs w:val="0"/>
          <w:kern w:val="0"/>
          <w:lang w:val="zh-CN"/>
        </w:rPr>
        <w:t>5</w:t>
      </w:r>
      <w:r>
        <w:rPr>
          <w:rFonts w:hint="eastAsia" w:asciiTheme="minorEastAsia" w:hAnsiTheme="minorEastAsia" w:eastAsiaTheme="minorEastAsia"/>
          <w:bCs w:val="0"/>
          <w:kern w:val="0"/>
          <w:lang w:val="zh-CN"/>
        </w:rPr>
        <w:t>）公益支持：</w:t>
      </w:r>
    </w:p>
    <w:p>
      <w:pPr>
        <w:pStyle w:val="86"/>
        <w:ind w:firstLine="480"/>
        <w:rPr>
          <w:rFonts w:asciiTheme="minorEastAsia" w:hAnsiTheme="minorEastAsia" w:eastAsiaTheme="minorEastAsia"/>
          <w:bCs w:val="0"/>
          <w:kern w:val="0"/>
          <w:lang w:val="zh-CN"/>
        </w:rPr>
      </w:pPr>
      <w:r>
        <w:rPr>
          <w:rFonts w:hint="eastAsia" w:asciiTheme="minorEastAsia" w:hAnsiTheme="minorEastAsia" w:eastAsiaTheme="minorEastAsia"/>
          <w:bCs w:val="0"/>
          <w:kern w:val="0"/>
          <w:lang w:val="zh-CN"/>
        </w:rPr>
        <w:t xml:space="preserve"> 公司热心支持公益事业，全力打造国家、企业、职工</w:t>
      </w:r>
      <w:r>
        <w:rPr>
          <w:rFonts w:asciiTheme="minorEastAsia" w:hAnsiTheme="minorEastAsia" w:eastAsiaTheme="minorEastAsia"/>
          <w:bCs w:val="0"/>
          <w:kern w:val="0"/>
          <w:lang w:val="zh-CN"/>
        </w:rPr>
        <w:t>“</w:t>
      </w:r>
      <w:r>
        <w:rPr>
          <w:rFonts w:hint="eastAsia" w:asciiTheme="minorEastAsia" w:hAnsiTheme="minorEastAsia" w:eastAsiaTheme="minorEastAsia"/>
          <w:bCs w:val="0"/>
          <w:kern w:val="0"/>
          <w:lang w:val="zh-CN"/>
        </w:rPr>
        <w:t>三赢</w:t>
      </w:r>
      <w:r>
        <w:rPr>
          <w:rFonts w:asciiTheme="minorEastAsia" w:hAnsiTheme="minorEastAsia" w:eastAsiaTheme="minorEastAsia"/>
          <w:bCs w:val="0"/>
          <w:kern w:val="0"/>
          <w:lang w:val="zh-CN"/>
        </w:rPr>
        <w:t>”</w:t>
      </w:r>
      <w:r>
        <w:rPr>
          <w:rFonts w:hint="eastAsia" w:asciiTheme="minorEastAsia" w:hAnsiTheme="minorEastAsia" w:eastAsiaTheme="minorEastAsia"/>
          <w:bCs w:val="0"/>
          <w:kern w:val="0"/>
          <w:lang w:val="zh-CN"/>
        </w:rPr>
        <w:t>的局面，多年来为国家和社会作出了应有的贡献，表现出不断追求卓越绩效的社会责任感，获得了社会各界的充分肯定和高度赞誉。</w:t>
      </w:r>
    </w:p>
    <w:tbl>
      <w:tblPr>
        <w:tblStyle w:val="38"/>
        <w:tblW w:w="4998" w:type="pct"/>
        <w:tblInd w:w="0" w:type="dxa"/>
        <w:tblBorders>
          <w:top w:val="thinThickSmallGap" w:color="00B050" w:sz="24" w:space="0"/>
          <w:left w:val="none" w:color="auto" w:sz="0" w:space="0"/>
          <w:bottom w:val="thinThickSmallGap" w:color="00B050" w:sz="24" w:space="0"/>
          <w:right w:val="none" w:color="auto" w:sz="0" w:space="0"/>
          <w:insideH w:val="single" w:color="00B050" w:sz="4" w:space="0"/>
          <w:insideV w:val="single" w:color="00B050" w:sz="4" w:space="0"/>
        </w:tblBorders>
        <w:tblLayout w:type="autofit"/>
        <w:tblCellMar>
          <w:top w:w="0" w:type="dxa"/>
          <w:left w:w="108" w:type="dxa"/>
          <w:bottom w:w="0" w:type="dxa"/>
          <w:right w:w="108" w:type="dxa"/>
        </w:tblCellMar>
      </w:tblPr>
      <w:tblGrid>
        <w:gridCol w:w="1461"/>
        <w:gridCol w:w="3734"/>
        <w:gridCol w:w="3324"/>
      </w:tblGrid>
      <w:tr>
        <w:tblPrEx>
          <w:tblBorders>
            <w:top w:val="thinThickSmallGap" w:color="00B050" w:sz="24" w:space="0"/>
            <w:left w:val="none" w:color="auto" w:sz="0" w:space="0"/>
            <w:bottom w:val="thinThick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c>
          <w:tcPr>
            <w:tcW w:w="857" w:type="pct"/>
            <w:shd w:val="clear" w:color="auto" w:fill="F79646"/>
            <w:noWrap w:val="0"/>
            <w:vAlign w:val="center"/>
          </w:tcPr>
          <w:p>
            <w:pPr>
              <w:keepNext w:val="0"/>
              <w:keepLines w:val="0"/>
              <w:suppressLineNumbers w:val="0"/>
              <w:spacing w:before="0" w:beforeAutospacing="0" w:after="0" w:afterAutospacing="0" w:line="300" w:lineRule="auto"/>
              <w:ind w:left="0" w:right="0"/>
              <w:jc w:val="center"/>
              <w:rPr>
                <w:rFonts w:hint="eastAsia" w:eastAsia="宋体"/>
                <w:b/>
                <w:color w:val="000000"/>
                <w:sz w:val="24"/>
                <w:szCs w:val="24"/>
                <w:lang w:val="en-US" w:eastAsia="zh-CN"/>
              </w:rPr>
            </w:pPr>
            <w:r>
              <w:rPr>
                <w:rFonts w:hint="eastAsia" w:eastAsia="宋体"/>
                <w:b/>
                <w:color w:val="000000"/>
                <w:sz w:val="24"/>
                <w:szCs w:val="24"/>
                <w:lang w:val="en-US" w:eastAsia="zh-CN"/>
              </w:rPr>
              <w:t>年度</w:t>
            </w:r>
          </w:p>
        </w:tc>
        <w:tc>
          <w:tcPr>
            <w:tcW w:w="2191" w:type="pct"/>
            <w:shd w:val="clear" w:color="auto" w:fill="F79646"/>
            <w:noWrap w:val="0"/>
            <w:vAlign w:val="center"/>
          </w:tcPr>
          <w:p>
            <w:pPr>
              <w:keepNext w:val="0"/>
              <w:keepLines w:val="0"/>
              <w:suppressLineNumbers w:val="0"/>
              <w:spacing w:before="0" w:beforeAutospacing="0" w:after="0" w:afterAutospacing="0" w:line="300" w:lineRule="auto"/>
              <w:ind w:left="0" w:right="0"/>
              <w:jc w:val="center"/>
              <w:rPr>
                <w:rFonts w:hint="default" w:eastAsia="Calibri"/>
                <w:b/>
                <w:color w:val="000000"/>
                <w:sz w:val="24"/>
                <w:szCs w:val="24"/>
              </w:rPr>
            </w:pPr>
            <w:r>
              <w:rPr>
                <w:rFonts w:hint="eastAsia" w:ascii="宋体" w:hAnsi="宋体"/>
                <w:b/>
                <w:sz w:val="26"/>
                <w:szCs w:val="26"/>
              </w:rPr>
              <w:t>慈善捐助费用（万元）</w:t>
            </w:r>
          </w:p>
        </w:tc>
        <w:tc>
          <w:tcPr>
            <w:tcW w:w="1950" w:type="pct"/>
            <w:shd w:val="clear" w:color="auto" w:fill="F79646"/>
            <w:noWrap w:val="0"/>
            <w:vAlign w:val="center"/>
          </w:tcPr>
          <w:p>
            <w:pPr>
              <w:keepNext w:val="0"/>
              <w:keepLines w:val="0"/>
              <w:suppressLineNumbers w:val="0"/>
              <w:spacing w:before="0" w:beforeAutospacing="0" w:after="0" w:afterAutospacing="0" w:line="300" w:lineRule="auto"/>
              <w:ind w:left="0" w:right="0"/>
              <w:jc w:val="center"/>
              <w:rPr>
                <w:rFonts w:hint="eastAsia" w:ascii="宋体" w:hAnsi="宋体"/>
                <w:b/>
                <w:sz w:val="26"/>
                <w:szCs w:val="26"/>
              </w:rPr>
            </w:pPr>
            <w:r>
              <w:rPr>
                <w:rFonts w:hint="eastAsia" w:ascii="宋体" w:hAnsi="宋体"/>
                <w:b/>
                <w:sz w:val="26"/>
                <w:szCs w:val="26"/>
              </w:rPr>
              <w:t>物资及折价费用（万元）</w:t>
            </w:r>
          </w:p>
        </w:tc>
      </w:tr>
      <w:tr>
        <w:tblPrEx>
          <w:tblBorders>
            <w:top w:val="thinThickSmallGap" w:color="00B050" w:sz="24" w:space="0"/>
            <w:left w:val="none" w:color="auto" w:sz="0" w:space="0"/>
            <w:bottom w:val="thinThick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270" w:hRule="atLeast"/>
        </w:trPr>
        <w:tc>
          <w:tcPr>
            <w:tcW w:w="857" w:type="pct"/>
            <w:noWrap w:val="0"/>
            <w:vAlign w:val="center"/>
          </w:tcPr>
          <w:p>
            <w:pPr>
              <w:keepNext w:val="0"/>
              <w:keepLines w:val="0"/>
              <w:suppressLineNumbers w:val="0"/>
              <w:spacing w:before="0" w:beforeAutospacing="0" w:after="0" w:afterAutospacing="0" w:line="300" w:lineRule="auto"/>
              <w:ind w:left="0" w:right="0"/>
              <w:jc w:val="center"/>
              <w:rPr>
                <w:rFonts w:hint="default" w:cs="Times New Roman" w:asciiTheme="minorEastAsia" w:hAnsiTheme="minorEastAsia" w:eastAsiaTheme="minorEastAsia"/>
                <w:bCs w:val="0"/>
                <w:kern w:val="0"/>
                <w:sz w:val="24"/>
                <w:szCs w:val="24"/>
                <w:lang w:val="en-US" w:eastAsia="zh-CN" w:bidi="ar-SA"/>
              </w:rPr>
            </w:pPr>
            <w:r>
              <w:rPr>
                <w:rFonts w:hint="eastAsia" w:cs="Times New Roman" w:asciiTheme="minorEastAsia" w:hAnsiTheme="minorEastAsia" w:eastAsiaTheme="minorEastAsia"/>
                <w:bCs w:val="0"/>
                <w:kern w:val="0"/>
                <w:sz w:val="24"/>
                <w:szCs w:val="24"/>
                <w:lang w:val="en-US" w:eastAsia="zh-CN" w:bidi="ar-SA"/>
              </w:rPr>
              <w:t>2020</w:t>
            </w:r>
          </w:p>
        </w:tc>
        <w:tc>
          <w:tcPr>
            <w:tcW w:w="3734"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cs="Times New Roman" w:asciiTheme="minorEastAsia" w:hAnsiTheme="minorEastAsia" w:eastAsiaTheme="minorEastAsia"/>
                <w:bCs w:val="0"/>
                <w:kern w:val="0"/>
                <w:sz w:val="24"/>
                <w:szCs w:val="24"/>
                <w:lang w:val="zh-CN" w:eastAsia="zh-CN" w:bidi="ar-SA"/>
              </w:rPr>
            </w:pPr>
            <w:r>
              <w:rPr>
                <w:rFonts w:hint="eastAsia" w:ascii="宋体" w:hAnsi="宋体" w:eastAsia="宋体" w:cs="宋体"/>
                <w:kern w:val="2"/>
                <w:sz w:val="21"/>
                <w:szCs w:val="22"/>
                <w:lang w:val="en-US" w:eastAsia="zh-CN" w:bidi="ar"/>
              </w:rPr>
              <w:t>5</w:t>
            </w:r>
          </w:p>
        </w:tc>
        <w:tc>
          <w:tcPr>
            <w:tcW w:w="332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asciiTheme="minorEastAsia" w:hAnsiTheme="minorEastAsia" w:eastAsiaTheme="minorEastAsia"/>
                <w:bCs w:val="0"/>
                <w:kern w:val="0"/>
                <w:sz w:val="24"/>
                <w:szCs w:val="24"/>
                <w:lang w:val="zh-CN" w:eastAsia="zh-CN" w:bidi="ar-SA"/>
              </w:rPr>
            </w:pPr>
            <w:r>
              <w:rPr>
                <w:rFonts w:hint="eastAsia" w:ascii="宋体" w:hAnsi="宋体" w:eastAsia="宋体" w:cs="宋体"/>
                <w:kern w:val="2"/>
                <w:sz w:val="21"/>
                <w:szCs w:val="22"/>
                <w:lang w:val="en-US" w:eastAsia="zh-CN" w:bidi="ar"/>
              </w:rPr>
              <w:t>3</w:t>
            </w:r>
          </w:p>
        </w:tc>
      </w:tr>
      <w:tr>
        <w:tblPrEx>
          <w:tblBorders>
            <w:top w:val="thinThickSmallGap" w:color="00B050" w:sz="24" w:space="0"/>
            <w:left w:val="none" w:color="auto" w:sz="0" w:space="0"/>
            <w:bottom w:val="thinThick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93" w:hRule="atLeast"/>
        </w:trPr>
        <w:tc>
          <w:tcPr>
            <w:tcW w:w="857" w:type="pct"/>
            <w:noWrap w:val="0"/>
            <w:vAlign w:val="center"/>
          </w:tcPr>
          <w:p>
            <w:pPr>
              <w:keepNext w:val="0"/>
              <w:keepLines w:val="0"/>
              <w:suppressLineNumbers w:val="0"/>
              <w:spacing w:before="0" w:beforeAutospacing="0" w:after="0" w:afterAutospacing="0" w:line="300" w:lineRule="auto"/>
              <w:ind w:left="0" w:right="0"/>
              <w:jc w:val="center"/>
              <w:rPr>
                <w:rFonts w:hint="default" w:cs="Times New Roman" w:asciiTheme="minorEastAsia" w:hAnsiTheme="minorEastAsia" w:eastAsiaTheme="minorEastAsia"/>
                <w:bCs w:val="0"/>
                <w:kern w:val="0"/>
                <w:sz w:val="24"/>
                <w:szCs w:val="24"/>
                <w:lang w:val="en-US" w:eastAsia="zh-CN" w:bidi="ar-SA"/>
              </w:rPr>
            </w:pPr>
            <w:r>
              <w:rPr>
                <w:rFonts w:hint="eastAsia" w:cs="Times New Roman" w:asciiTheme="minorEastAsia" w:hAnsiTheme="minorEastAsia"/>
                <w:bCs w:val="0"/>
                <w:kern w:val="0"/>
                <w:sz w:val="24"/>
                <w:szCs w:val="24"/>
                <w:lang w:val="en-US" w:eastAsia="zh-CN" w:bidi="ar-SA"/>
              </w:rPr>
              <w:t>2021</w:t>
            </w:r>
          </w:p>
        </w:tc>
        <w:tc>
          <w:tcPr>
            <w:tcW w:w="3734"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cs="Times New Roman" w:asciiTheme="minorEastAsia" w:hAnsiTheme="minorEastAsia" w:eastAsiaTheme="minorEastAsia"/>
                <w:bCs w:val="0"/>
                <w:kern w:val="0"/>
                <w:sz w:val="24"/>
                <w:szCs w:val="24"/>
                <w:lang w:val="zh-CN" w:eastAsia="zh-CN" w:bidi="ar-SA"/>
              </w:rPr>
            </w:pPr>
            <w:r>
              <w:rPr>
                <w:rFonts w:hint="eastAsia" w:ascii="宋体" w:hAnsi="宋体" w:eastAsia="宋体" w:cs="宋体"/>
                <w:kern w:val="2"/>
                <w:sz w:val="21"/>
                <w:szCs w:val="22"/>
                <w:lang w:val="en-US" w:eastAsia="zh-CN" w:bidi="ar"/>
              </w:rPr>
              <w:t>10</w:t>
            </w:r>
          </w:p>
        </w:tc>
        <w:tc>
          <w:tcPr>
            <w:tcW w:w="332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asciiTheme="minorEastAsia" w:hAnsiTheme="minorEastAsia" w:eastAsiaTheme="minorEastAsia"/>
                <w:bCs w:val="0"/>
                <w:kern w:val="0"/>
                <w:sz w:val="24"/>
                <w:szCs w:val="24"/>
                <w:lang w:val="zh-CN" w:eastAsia="zh-CN" w:bidi="ar-SA"/>
              </w:rPr>
            </w:pPr>
            <w:r>
              <w:rPr>
                <w:rFonts w:hint="eastAsia" w:ascii="宋体" w:hAnsi="宋体" w:eastAsia="宋体" w:cs="宋体"/>
                <w:kern w:val="2"/>
                <w:sz w:val="21"/>
                <w:szCs w:val="22"/>
                <w:lang w:val="en-US" w:eastAsia="zh-CN" w:bidi="ar"/>
              </w:rPr>
              <w:t>5</w:t>
            </w:r>
          </w:p>
        </w:tc>
      </w:tr>
      <w:tr>
        <w:tblPrEx>
          <w:tblBorders>
            <w:top w:val="thinThickSmallGap" w:color="00B050" w:sz="24" w:space="0"/>
            <w:left w:val="none" w:color="auto" w:sz="0" w:space="0"/>
            <w:bottom w:val="thinThick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351" w:hRule="atLeast"/>
        </w:trPr>
        <w:tc>
          <w:tcPr>
            <w:tcW w:w="857" w:type="pct"/>
            <w:noWrap w:val="0"/>
            <w:vAlign w:val="center"/>
          </w:tcPr>
          <w:p>
            <w:pPr>
              <w:keepNext w:val="0"/>
              <w:keepLines w:val="0"/>
              <w:suppressLineNumbers w:val="0"/>
              <w:spacing w:before="0" w:beforeAutospacing="0" w:after="0" w:afterAutospacing="0" w:line="300" w:lineRule="auto"/>
              <w:ind w:left="0" w:right="0"/>
              <w:jc w:val="center"/>
              <w:rPr>
                <w:rFonts w:hint="default" w:cs="Times New Roman" w:asciiTheme="minorEastAsia" w:hAnsiTheme="minorEastAsia" w:eastAsiaTheme="minorEastAsia"/>
                <w:bCs w:val="0"/>
                <w:kern w:val="0"/>
                <w:sz w:val="24"/>
                <w:szCs w:val="24"/>
                <w:lang w:val="en-US" w:eastAsia="zh-CN" w:bidi="ar-SA"/>
              </w:rPr>
            </w:pPr>
            <w:r>
              <w:rPr>
                <w:rFonts w:hint="eastAsia" w:cs="Times New Roman" w:asciiTheme="minorEastAsia" w:hAnsiTheme="minorEastAsia"/>
                <w:bCs w:val="0"/>
                <w:kern w:val="0"/>
                <w:sz w:val="24"/>
                <w:szCs w:val="24"/>
                <w:lang w:val="en-US" w:eastAsia="zh-CN" w:bidi="ar-SA"/>
              </w:rPr>
              <w:t>2022</w:t>
            </w:r>
          </w:p>
        </w:tc>
        <w:tc>
          <w:tcPr>
            <w:tcW w:w="3734"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cs="Times New Roman" w:asciiTheme="minorEastAsia" w:hAnsiTheme="minorEastAsia" w:eastAsiaTheme="minorEastAsia"/>
                <w:bCs w:val="0"/>
                <w:kern w:val="0"/>
                <w:sz w:val="24"/>
                <w:szCs w:val="24"/>
                <w:lang w:val="zh-CN" w:eastAsia="zh-CN" w:bidi="ar-SA"/>
              </w:rPr>
            </w:pPr>
            <w:r>
              <w:rPr>
                <w:rFonts w:hint="eastAsia" w:ascii="宋体" w:hAnsi="宋体" w:eastAsia="宋体" w:cs="宋体"/>
                <w:kern w:val="2"/>
                <w:sz w:val="21"/>
                <w:szCs w:val="22"/>
                <w:lang w:val="en-US" w:eastAsia="zh-CN" w:bidi="ar"/>
              </w:rPr>
              <w:t>20</w:t>
            </w:r>
          </w:p>
        </w:tc>
        <w:tc>
          <w:tcPr>
            <w:tcW w:w="332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asciiTheme="minorEastAsia" w:hAnsiTheme="minorEastAsia" w:eastAsiaTheme="minorEastAsia"/>
                <w:bCs w:val="0"/>
                <w:kern w:val="0"/>
                <w:sz w:val="24"/>
                <w:szCs w:val="24"/>
                <w:lang w:val="zh-CN" w:eastAsia="zh-CN" w:bidi="ar-SA"/>
              </w:rPr>
            </w:pPr>
            <w:r>
              <w:rPr>
                <w:rFonts w:hint="eastAsia" w:ascii="宋体" w:hAnsi="宋体" w:eastAsia="宋体" w:cs="宋体"/>
                <w:kern w:val="2"/>
                <w:sz w:val="21"/>
                <w:szCs w:val="22"/>
                <w:lang w:val="en-US" w:eastAsia="zh-CN" w:bidi="ar"/>
              </w:rPr>
              <w:t>5</w:t>
            </w:r>
          </w:p>
        </w:tc>
      </w:tr>
      <w:tr>
        <w:tblPrEx>
          <w:tblBorders>
            <w:top w:val="thinThickSmallGap" w:color="00B050" w:sz="24" w:space="0"/>
            <w:left w:val="none" w:color="auto" w:sz="0" w:space="0"/>
            <w:bottom w:val="thinThickSmallGap" w:color="00B050" w:sz="24" w:space="0"/>
            <w:right w:val="none" w:color="auto" w:sz="0" w:space="0"/>
            <w:insideH w:val="single" w:color="00B050" w:sz="4" w:space="0"/>
            <w:insideV w:val="single" w:color="00B050" w:sz="4" w:space="0"/>
          </w:tblBorders>
          <w:tblCellMar>
            <w:top w:w="0" w:type="dxa"/>
            <w:left w:w="108" w:type="dxa"/>
            <w:bottom w:w="0" w:type="dxa"/>
            <w:right w:w="108" w:type="dxa"/>
          </w:tblCellMar>
        </w:tblPrEx>
        <w:trPr>
          <w:trHeight w:val="351" w:hRule="atLeast"/>
        </w:trPr>
        <w:tc>
          <w:tcPr>
            <w:tcW w:w="857" w:type="pct"/>
            <w:noWrap w:val="0"/>
            <w:vAlign w:val="center"/>
          </w:tcPr>
          <w:p>
            <w:pPr>
              <w:keepNext w:val="0"/>
              <w:keepLines w:val="0"/>
              <w:suppressLineNumbers w:val="0"/>
              <w:spacing w:before="0" w:beforeAutospacing="0" w:after="0" w:afterAutospacing="0" w:line="300" w:lineRule="auto"/>
              <w:ind w:left="0" w:right="0"/>
              <w:jc w:val="center"/>
              <w:rPr>
                <w:rFonts w:hint="default" w:cs="Times New Roman" w:asciiTheme="minorEastAsia" w:hAnsiTheme="minorEastAsia" w:eastAsiaTheme="minorEastAsia"/>
                <w:bCs w:val="0"/>
                <w:kern w:val="0"/>
                <w:sz w:val="24"/>
                <w:szCs w:val="24"/>
                <w:lang w:val="en-US" w:eastAsia="zh-CN" w:bidi="ar-SA"/>
              </w:rPr>
            </w:pPr>
            <w:r>
              <w:rPr>
                <w:rFonts w:hint="eastAsia" w:cs="Times New Roman" w:asciiTheme="minorEastAsia" w:hAnsiTheme="minorEastAsia"/>
                <w:bCs w:val="0"/>
                <w:kern w:val="0"/>
                <w:sz w:val="24"/>
                <w:szCs w:val="24"/>
                <w:lang w:val="en-US" w:eastAsia="zh-CN" w:bidi="ar-SA"/>
              </w:rPr>
              <w:t>合计</w:t>
            </w:r>
          </w:p>
        </w:tc>
        <w:tc>
          <w:tcPr>
            <w:tcW w:w="3734"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cs="Times New Roman" w:asciiTheme="minorEastAsia" w:hAnsiTheme="minorEastAsia" w:eastAsiaTheme="minorEastAsia"/>
                <w:bCs w:val="0"/>
                <w:kern w:val="0"/>
                <w:sz w:val="24"/>
                <w:szCs w:val="24"/>
                <w:lang w:val="zh-CN" w:eastAsia="zh-CN" w:bidi="ar-SA"/>
              </w:rPr>
            </w:pPr>
            <w:r>
              <w:rPr>
                <w:rFonts w:hint="eastAsia" w:ascii="宋体" w:hAnsi="宋体" w:eastAsia="宋体" w:cs="宋体"/>
                <w:kern w:val="2"/>
                <w:sz w:val="21"/>
                <w:szCs w:val="22"/>
                <w:lang w:val="en-US" w:eastAsia="zh-CN" w:bidi="ar"/>
              </w:rPr>
              <w:t>35</w:t>
            </w:r>
          </w:p>
        </w:tc>
        <w:tc>
          <w:tcPr>
            <w:tcW w:w="332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asciiTheme="minorEastAsia" w:hAnsiTheme="minorEastAsia" w:eastAsiaTheme="minorEastAsia"/>
                <w:bCs w:val="0"/>
                <w:kern w:val="0"/>
                <w:sz w:val="24"/>
                <w:szCs w:val="24"/>
                <w:lang w:val="zh-CN" w:eastAsia="zh-CN" w:bidi="ar-SA"/>
              </w:rPr>
            </w:pPr>
            <w:r>
              <w:rPr>
                <w:rFonts w:hint="eastAsia" w:ascii="宋体" w:hAnsi="宋体" w:eastAsia="宋体" w:cs="宋体"/>
                <w:kern w:val="2"/>
                <w:sz w:val="21"/>
                <w:szCs w:val="22"/>
                <w:lang w:val="en-US" w:eastAsia="zh-CN" w:bidi="ar"/>
              </w:rPr>
              <w:t>13</w:t>
            </w:r>
          </w:p>
        </w:tc>
      </w:tr>
    </w:tbl>
    <w:p>
      <w:pPr>
        <w:spacing w:line="360" w:lineRule="auto"/>
        <w:ind w:firstLine="480" w:firstLineChars="200"/>
        <w:rPr>
          <w:rFonts w:cs="Times New Roman" w:asciiTheme="minorEastAsia" w:hAnsiTheme="minorEastAsia"/>
          <w:kern w:val="0"/>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Narrow">
    <w:altName w:val="Segoe Print"/>
    <w:panose1 w:val="00000000000000000000"/>
    <w:charset w:val="00"/>
    <w:family w:val="swiss"/>
    <w:pitch w:val="default"/>
    <w:sig w:usb0="00000000" w:usb1="00000000" w:usb2="00000000" w:usb3="00000000" w:csb0="00000001"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pPr>
      <w:pStyle w:val="28"/>
    </w:pPr>
  </w:p>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00DDC"/>
    <w:multiLevelType w:val="multilevel"/>
    <w:tmpl w:val="04600DD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21547E"/>
    <w:multiLevelType w:val="multilevel"/>
    <w:tmpl w:val="3221547E"/>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M2M1NDBlNGMxNTY0N2Y2OTU4ZDE1NGJjNjNlOWYifQ=="/>
  </w:docVars>
  <w:rsids>
    <w:rsidRoot w:val="00CD5536"/>
    <w:rsid w:val="000001E5"/>
    <w:rsid w:val="00004397"/>
    <w:rsid w:val="00036A7A"/>
    <w:rsid w:val="000437A1"/>
    <w:rsid w:val="000519DC"/>
    <w:rsid w:val="00066D0C"/>
    <w:rsid w:val="00093D9A"/>
    <w:rsid w:val="000C3B69"/>
    <w:rsid w:val="000F2948"/>
    <w:rsid w:val="00116ECF"/>
    <w:rsid w:val="00131595"/>
    <w:rsid w:val="00165DCC"/>
    <w:rsid w:val="00186145"/>
    <w:rsid w:val="001F317C"/>
    <w:rsid w:val="0020185A"/>
    <w:rsid w:val="00205BD5"/>
    <w:rsid w:val="00225468"/>
    <w:rsid w:val="00233AAC"/>
    <w:rsid w:val="00234E6C"/>
    <w:rsid w:val="00241399"/>
    <w:rsid w:val="0024604C"/>
    <w:rsid w:val="002827AB"/>
    <w:rsid w:val="002B6B4E"/>
    <w:rsid w:val="00330422"/>
    <w:rsid w:val="00377118"/>
    <w:rsid w:val="00397853"/>
    <w:rsid w:val="003C2E66"/>
    <w:rsid w:val="003C2FB7"/>
    <w:rsid w:val="004432F6"/>
    <w:rsid w:val="00463CC3"/>
    <w:rsid w:val="00485095"/>
    <w:rsid w:val="004978CF"/>
    <w:rsid w:val="004A06E6"/>
    <w:rsid w:val="004B21B4"/>
    <w:rsid w:val="00554B93"/>
    <w:rsid w:val="005A5A6F"/>
    <w:rsid w:val="00603844"/>
    <w:rsid w:val="00634892"/>
    <w:rsid w:val="00637B07"/>
    <w:rsid w:val="006644E1"/>
    <w:rsid w:val="00667FBF"/>
    <w:rsid w:val="00671E41"/>
    <w:rsid w:val="00686622"/>
    <w:rsid w:val="006F6F50"/>
    <w:rsid w:val="00703B80"/>
    <w:rsid w:val="00716577"/>
    <w:rsid w:val="00730453"/>
    <w:rsid w:val="00730A7E"/>
    <w:rsid w:val="00736DA1"/>
    <w:rsid w:val="00767175"/>
    <w:rsid w:val="00793FD8"/>
    <w:rsid w:val="007B1A38"/>
    <w:rsid w:val="00824AF2"/>
    <w:rsid w:val="00880AAF"/>
    <w:rsid w:val="008B2A22"/>
    <w:rsid w:val="008D6DB7"/>
    <w:rsid w:val="008E7DC2"/>
    <w:rsid w:val="009112BB"/>
    <w:rsid w:val="0094693B"/>
    <w:rsid w:val="00951B16"/>
    <w:rsid w:val="00966680"/>
    <w:rsid w:val="009811C7"/>
    <w:rsid w:val="00992744"/>
    <w:rsid w:val="009A0384"/>
    <w:rsid w:val="009B3814"/>
    <w:rsid w:val="009F5B39"/>
    <w:rsid w:val="009F7CA5"/>
    <w:rsid w:val="009F7FA0"/>
    <w:rsid w:val="00A31629"/>
    <w:rsid w:val="00A322BA"/>
    <w:rsid w:val="00A41920"/>
    <w:rsid w:val="00B1748F"/>
    <w:rsid w:val="00B575F2"/>
    <w:rsid w:val="00B65A19"/>
    <w:rsid w:val="00B7013E"/>
    <w:rsid w:val="00B81A74"/>
    <w:rsid w:val="00B9573E"/>
    <w:rsid w:val="00BA0555"/>
    <w:rsid w:val="00BB2768"/>
    <w:rsid w:val="00BD23D5"/>
    <w:rsid w:val="00BF63C4"/>
    <w:rsid w:val="00C5360B"/>
    <w:rsid w:val="00C62CC5"/>
    <w:rsid w:val="00C72D50"/>
    <w:rsid w:val="00C75F8D"/>
    <w:rsid w:val="00C76CCB"/>
    <w:rsid w:val="00C93C36"/>
    <w:rsid w:val="00CD5536"/>
    <w:rsid w:val="00CD5A41"/>
    <w:rsid w:val="00CD6E6A"/>
    <w:rsid w:val="00CF5AE9"/>
    <w:rsid w:val="00D0108B"/>
    <w:rsid w:val="00D43FE8"/>
    <w:rsid w:val="00D56F1C"/>
    <w:rsid w:val="00D76656"/>
    <w:rsid w:val="00D77F15"/>
    <w:rsid w:val="00D958DE"/>
    <w:rsid w:val="00DA3FF1"/>
    <w:rsid w:val="00DC004C"/>
    <w:rsid w:val="00DE4754"/>
    <w:rsid w:val="00E1560D"/>
    <w:rsid w:val="00E23FAD"/>
    <w:rsid w:val="00E52188"/>
    <w:rsid w:val="00EA43FF"/>
    <w:rsid w:val="00EC5685"/>
    <w:rsid w:val="00EF7FEC"/>
    <w:rsid w:val="00F02061"/>
    <w:rsid w:val="00F72C6E"/>
    <w:rsid w:val="00F73F58"/>
    <w:rsid w:val="01915353"/>
    <w:rsid w:val="033D1FFC"/>
    <w:rsid w:val="03AF34A2"/>
    <w:rsid w:val="05205355"/>
    <w:rsid w:val="060374E1"/>
    <w:rsid w:val="06DA075B"/>
    <w:rsid w:val="099C3C23"/>
    <w:rsid w:val="0BDE0CED"/>
    <w:rsid w:val="0E92577A"/>
    <w:rsid w:val="15E4163C"/>
    <w:rsid w:val="196C5B8A"/>
    <w:rsid w:val="1A6836E2"/>
    <w:rsid w:val="1AD5775F"/>
    <w:rsid w:val="1FE32AA5"/>
    <w:rsid w:val="223775AC"/>
    <w:rsid w:val="23DB1D7E"/>
    <w:rsid w:val="240D1D18"/>
    <w:rsid w:val="240D3609"/>
    <w:rsid w:val="260B328E"/>
    <w:rsid w:val="277B0325"/>
    <w:rsid w:val="28C07367"/>
    <w:rsid w:val="28E60D8A"/>
    <w:rsid w:val="2BD45EA6"/>
    <w:rsid w:val="2E3C1B78"/>
    <w:rsid w:val="2E5A64A6"/>
    <w:rsid w:val="2F77098D"/>
    <w:rsid w:val="2F91426B"/>
    <w:rsid w:val="31726B84"/>
    <w:rsid w:val="323963CE"/>
    <w:rsid w:val="32F260A5"/>
    <w:rsid w:val="37F81103"/>
    <w:rsid w:val="39F10D9E"/>
    <w:rsid w:val="401A2E14"/>
    <w:rsid w:val="43B835F7"/>
    <w:rsid w:val="4628556B"/>
    <w:rsid w:val="48D174AD"/>
    <w:rsid w:val="48D811F5"/>
    <w:rsid w:val="4B3267AC"/>
    <w:rsid w:val="4C693E57"/>
    <w:rsid w:val="4E2A31BA"/>
    <w:rsid w:val="4E5A19FE"/>
    <w:rsid w:val="4E9A1AE5"/>
    <w:rsid w:val="50A97D14"/>
    <w:rsid w:val="522C2BAC"/>
    <w:rsid w:val="52631F37"/>
    <w:rsid w:val="555313D1"/>
    <w:rsid w:val="58615BB3"/>
    <w:rsid w:val="5965519C"/>
    <w:rsid w:val="5F7610AD"/>
    <w:rsid w:val="65A0200F"/>
    <w:rsid w:val="6631721D"/>
    <w:rsid w:val="69D13148"/>
    <w:rsid w:val="6C45775B"/>
    <w:rsid w:val="732F36FA"/>
    <w:rsid w:val="75332B1D"/>
    <w:rsid w:val="78746025"/>
    <w:rsid w:val="7A835790"/>
    <w:rsid w:val="7A96222C"/>
    <w:rsid w:val="7E5A4CCF"/>
    <w:rsid w:val="7E5E4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qFormat/>
    <w:uiPriority w:val="9"/>
    <w:pPr>
      <w:keepNext/>
      <w:keepLines/>
      <w:spacing w:before="60" w:after="60"/>
      <w:outlineLvl w:val="2"/>
    </w:pPr>
    <w:rPr>
      <w:rFonts w:ascii="Calibri" w:hAnsi="Calibri" w:eastAsia="宋体" w:cs="Times New Roman"/>
      <w:b/>
      <w:bCs/>
      <w:szCs w:val="32"/>
    </w:rPr>
  </w:style>
  <w:style w:type="paragraph" w:styleId="5">
    <w:name w:val="heading 4"/>
    <w:basedOn w:val="1"/>
    <w:next w:val="1"/>
    <w:link w:val="59"/>
    <w:qFormat/>
    <w:uiPriority w:val="9"/>
    <w:pPr>
      <w:keepNext/>
      <w:keepLines/>
      <w:spacing w:before="60" w:after="60"/>
      <w:outlineLvl w:val="3"/>
    </w:pPr>
    <w:rPr>
      <w:rFonts w:ascii="Cambria" w:hAnsi="Cambria" w:eastAsia="宋体" w:cs="Times New Roman"/>
      <w:b/>
      <w:bCs/>
      <w:szCs w:val="28"/>
    </w:rPr>
  </w:style>
  <w:style w:type="paragraph" w:styleId="6">
    <w:name w:val="heading 5"/>
    <w:basedOn w:val="1"/>
    <w:next w:val="1"/>
    <w:link w:val="60"/>
    <w:qFormat/>
    <w:uiPriority w:val="9"/>
    <w:pPr>
      <w:keepNext/>
      <w:keepLines/>
      <w:spacing w:before="60" w:after="60"/>
      <w:outlineLvl w:val="4"/>
    </w:pPr>
    <w:rPr>
      <w:rFonts w:ascii="Calibri" w:hAnsi="Calibri" w:eastAsia="宋体" w:cs="Times New Roman"/>
      <w:b/>
      <w:bCs/>
      <w:szCs w:val="28"/>
    </w:rPr>
  </w:style>
  <w:style w:type="paragraph" w:styleId="7">
    <w:name w:val="heading 6"/>
    <w:basedOn w:val="1"/>
    <w:next w:val="1"/>
    <w:link w:val="61"/>
    <w:unhideWhenUsed/>
    <w:qFormat/>
    <w:uiPriority w:val="9"/>
    <w:pPr>
      <w:keepNext/>
      <w:keepLines/>
      <w:widowControl/>
      <w:spacing w:before="60" w:after="60"/>
      <w:jc w:val="left"/>
      <w:outlineLvl w:val="5"/>
    </w:pPr>
    <w:rPr>
      <w:rFonts w:eastAsia="宋体" w:asciiTheme="majorHAnsi" w:hAnsiTheme="majorHAnsi" w:cstheme="majorBidi"/>
      <w:b/>
      <w:bCs/>
      <w:kern w:val="0"/>
      <w:szCs w:val="24"/>
    </w:rPr>
  </w:style>
  <w:style w:type="paragraph" w:styleId="8">
    <w:name w:val="heading 7"/>
    <w:basedOn w:val="1"/>
    <w:next w:val="1"/>
    <w:link w:val="62"/>
    <w:unhideWhenUsed/>
    <w:qFormat/>
    <w:uiPriority w:val="9"/>
    <w:pPr>
      <w:keepNext/>
      <w:keepLines/>
      <w:widowControl/>
      <w:spacing w:before="240" w:after="64" w:line="320" w:lineRule="auto"/>
      <w:jc w:val="left"/>
      <w:outlineLvl w:val="6"/>
    </w:pPr>
    <w:rPr>
      <w:rFonts w:ascii="宋体" w:hAnsi="宋体" w:eastAsia="宋体" w:cs="宋体"/>
      <w:b/>
      <w:bCs/>
      <w:kern w:val="0"/>
      <w:sz w:val="24"/>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9">
    <w:name w:val="toc 7"/>
    <w:basedOn w:val="1"/>
    <w:next w:val="1"/>
    <w:unhideWhenUsed/>
    <w:qFormat/>
    <w:uiPriority w:val="39"/>
    <w:pPr>
      <w:ind w:left="2520" w:leftChars="1200"/>
    </w:pPr>
  </w:style>
  <w:style w:type="paragraph" w:styleId="10">
    <w:name w:val="Note Heading"/>
    <w:basedOn w:val="1"/>
    <w:next w:val="1"/>
    <w:link w:val="71"/>
    <w:qFormat/>
    <w:uiPriority w:val="99"/>
    <w:pPr>
      <w:jc w:val="center"/>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Document Map"/>
    <w:basedOn w:val="1"/>
    <w:link w:val="76"/>
    <w:unhideWhenUsed/>
    <w:qFormat/>
    <w:uiPriority w:val="99"/>
    <w:rPr>
      <w:rFonts w:ascii="宋体" w:hAnsi="Calibri" w:eastAsia="宋体" w:cs="Times New Roman"/>
      <w:sz w:val="18"/>
      <w:szCs w:val="18"/>
    </w:rPr>
  </w:style>
  <w:style w:type="paragraph" w:styleId="14">
    <w:name w:val="toa heading"/>
    <w:basedOn w:val="1"/>
    <w:next w:val="1"/>
    <w:semiHidden/>
    <w:qFormat/>
    <w:uiPriority w:val="0"/>
    <w:pPr>
      <w:spacing w:before="120"/>
    </w:pPr>
    <w:rPr>
      <w:rFonts w:ascii="Arial" w:hAnsi="Arial" w:eastAsia="宋体" w:cs="Times New Roman"/>
      <w:b/>
      <w:bCs/>
      <w:szCs w:val="21"/>
    </w:rPr>
  </w:style>
  <w:style w:type="paragraph" w:styleId="15">
    <w:name w:val="annotation text"/>
    <w:basedOn w:val="1"/>
    <w:link w:val="52"/>
    <w:unhideWhenUsed/>
    <w:qFormat/>
    <w:uiPriority w:val="99"/>
    <w:pPr>
      <w:jc w:val="left"/>
    </w:pPr>
  </w:style>
  <w:style w:type="paragraph" w:styleId="16">
    <w:name w:val="Salutation"/>
    <w:basedOn w:val="1"/>
    <w:next w:val="1"/>
    <w:link w:val="63"/>
    <w:qFormat/>
    <w:uiPriority w:val="99"/>
    <w:rPr>
      <w:rFonts w:ascii="Times New Roman" w:hAnsi="Times New Roman" w:eastAsia="宋体" w:cs="Times New Roman"/>
      <w:szCs w:val="21"/>
    </w:rPr>
  </w:style>
  <w:style w:type="paragraph" w:styleId="17">
    <w:name w:val="List Bullet 3"/>
    <w:basedOn w:val="1"/>
    <w:qFormat/>
    <w:uiPriority w:val="0"/>
    <w:pPr>
      <w:tabs>
        <w:tab w:val="left" w:pos="1200"/>
      </w:tabs>
    </w:pPr>
    <w:rPr>
      <w:rFonts w:ascii="Times New Roman" w:hAnsi="Times New Roman" w:eastAsia="宋体" w:cs="Times New Roman"/>
      <w:szCs w:val="21"/>
    </w:rPr>
  </w:style>
  <w:style w:type="paragraph" w:styleId="18">
    <w:name w:val="Body Text"/>
    <w:basedOn w:val="1"/>
    <w:link w:val="68"/>
    <w:qFormat/>
    <w:uiPriority w:val="99"/>
    <w:pPr>
      <w:spacing w:after="120"/>
    </w:pPr>
    <w:rPr>
      <w:rFonts w:ascii="Times New Roman" w:hAnsi="Times New Roman" w:eastAsia="宋体" w:cs="Times New Roman"/>
      <w:szCs w:val="21"/>
    </w:rPr>
  </w:style>
  <w:style w:type="paragraph" w:styleId="19">
    <w:name w:val="Body Text Indent"/>
    <w:basedOn w:val="1"/>
    <w:qFormat/>
    <w:uiPriority w:val="0"/>
    <w:pPr>
      <w:spacing w:line="480" w:lineRule="exact"/>
      <w:ind w:firstLine="480" w:firstLineChars="200"/>
    </w:pPr>
    <w:rPr>
      <w:sz w:val="24"/>
    </w:rPr>
  </w:style>
  <w:style w:type="paragraph" w:styleId="20">
    <w:name w:val="toc 5"/>
    <w:basedOn w:val="1"/>
    <w:next w:val="1"/>
    <w:unhideWhenUsed/>
    <w:qFormat/>
    <w:uiPriority w:val="39"/>
    <w:pPr>
      <w:ind w:left="1680" w:leftChars="800"/>
    </w:pPr>
  </w:style>
  <w:style w:type="paragraph" w:styleId="21">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22">
    <w:name w:val="Plain Text"/>
    <w:basedOn w:val="1"/>
    <w:link w:val="66"/>
    <w:qFormat/>
    <w:uiPriority w:val="0"/>
    <w:rPr>
      <w:rFonts w:ascii="宋体" w:hAnsi="Courier New" w:eastAsia="宋体" w:cs="Times New Roman"/>
      <w:szCs w:val="20"/>
    </w:rPr>
  </w:style>
  <w:style w:type="paragraph" w:styleId="23">
    <w:name w:val="toc 8"/>
    <w:basedOn w:val="1"/>
    <w:next w:val="1"/>
    <w:unhideWhenUsed/>
    <w:qFormat/>
    <w:uiPriority w:val="39"/>
    <w:pPr>
      <w:ind w:left="2940" w:leftChars="1400"/>
    </w:pPr>
  </w:style>
  <w:style w:type="paragraph" w:styleId="24">
    <w:name w:val="Date"/>
    <w:basedOn w:val="1"/>
    <w:next w:val="1"/>
    <w:link w:val="70"/>
    <w:qFormat/>
    <w:uiPriority w:val="99"/>
    <w:pPr>
      <w:ind w:left="100" w:leftChars="2500"/>
    </w:pPr>
    <w:rPr>
      <w:rFonts w:ascii="Times New Roman" w:hAnsi="Times New Roman" w:eastAsia="宋体" w:cs="Times New Roman"/>
      <w:szCs w:val="21"/>
    </w:rPr>
  </w:style>
  <w:style w:type="paragraph" w:styleId="25">
    <w:name w:val="endnote text"/>
    <w:basedOn w:val="1"/>
    <w:link w:val="80"/>
    <w:unhideWhenUsed/>
    <w:qFormat/>
    <w:uiPriority w:val="99"/>
    <w:pPr>
      <w:widowControl/>
      <w:snapToGrid w:val="0"/>
      <w:jc w:val="left"/>
    </w:pPr>
    <w:rPr>
      <w:rFonts w:ascii="宋体" w:hAnsi="宋体" w:eastAsia="宋体" w:cs="宋体"/>
      <w:kern w:val="0"/>
      <w:szCs w:val="24"/>
    </w:rPr>
  </w:style>
  <w:style w:type="paragraph" w:styleId="26">
    <w:name w:val="Balloon Text"/>
    <w:basedOn w:val="1"/>
    <w:link w:val="54"/>
    <w:unhideWhenUsed/>
    <w:qFormat/>
    <w:uiPriority w:val="99"/>
    <w:rPr>
      <w:sz w:val="18"/>
      <w:szCs w:val="18"/>
    </w:rPr>
  </w:style>
  <w:style w:type="paragraph" w:styleId="27">
    <w:name w:val="footer"/>
    <w:basedOn w:val="1"/>
    <w:link w:val="46"/>
    <w:unhideWhenUsed/>
    <w:qFormat/>
    <w:uiPriority w:val="99"/>
    <w:pPr>
      <w:tabs>
        <w:tab w:val="center" w:pos="4153"/>
        <w:tab w:val="right" w:pos="8306"/>
      </w:tabs>
      <w:snapToGrid w:val="0"/>
      <w:jc w:val="left"/>
    </w:pPr>
    <w:rPr>
      <w:sz w:val="18"/>
      <w:szCs w:val="18"/>
    </w:rPr>
  </w:style>
  <w:style w:type="paragraph" w:styleId="28">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style>
  <w:style w:type="paragraph" w:styleId="30">
    <w:name w:val="toc 4"/>
    <w:basedOn w:val="1"/>
    <w:next w:val="1"/>
    <w:unhideWhenUsed/>
    <w:qFormat/>
    <w:uiPriority w:val="39"/>
    <w:pPr>
      <w:ind w:left="1260" w:leftChars="600"/>
    </w:pPr>
  </w:style>
  <w:style w:type="paragraph" w:styleId="31">
    <w:name w:val="toc 6"/>
    <w:basedOn w:val="1"/>
    <w:next w:val="1"/>
    <w:unhideWhenUsed/>
    <w:qFormat/>
    <w:uiPriority w:val="39"/>
    <w:pPr>
      <w:ind w:left="2100" w:leftChars="1000"/>
    </w:p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36">
    <w:name w:val="Title"/>
    <w:basedOn w:val="1"/>
    <w:next w:val="1"/>
    <w:link w:val="78"/>
    <w:qFormat/>
    <w:uiPriority w:val="0"/>
    <w:pPr>
      <w:spacing w:before="240" w:after="60"/>
      <w:jc w:val="center"/>
      <w:outlineLvl w:val="0"/>
    </w:pPr>
    <w:rPr>
      <w:rFonts w:eastAsia="宋体" w:asciiTheme="majorHAnsi" w:hAnsiTheme="majorHAnsi" w:cstheme="majorBidi"/>
      <w:b/>
      <w:bCs/>
      <w:sz w:val="32"/>
      <w:szCs w:val="32"/>
    </w:rPr>
  </w:style>
  <w:style w:type="paragraph" w:styleId="37">
    <w:name w:val="annotation subject"/>
    <w:basedOn w:val="15"/>
    <w:next w:val="15"/>
    <w:link w:val="53"/>
    <w:unhideWhenUsed/>
    <w:qFormat/>
    <w:uiPriority w:val="99"/>
    <w:rPr>
      <w:b/>
      <w:bCs/>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endnote reference"/>
    <w:basedOn w:val="40"/>
    <w:unhideWhenUsed/>
    <w:qFormat/>
    <w:uiPriority w:val="99"/>
    <w:rPr>
      <w:vertAlign w:val="superscript"/>
    </w:rPr>
  </w:style>
  <w:style w:type="character" w:styleId="42">
    <w:name w:val="page number"/>
    <w:basedOn w:val="40"/>
    <w:qFormat/>
    <w:uiPriority w:val="0"/>
  </w:style>
  <w:style w:type="character" w:styleId="43">
    <w:name w:val="Hyperlink"/>
    <w:basedOn w:val="40"/>
    <w:unhideWhenUsed/>
    <w:qFormat/>
    <w:uiPriority w:val="99"/>
    <w:rPr>
      <w:color w:val="0563C1" w:themeColor="hyperlink"/>
      <w:u w:val="single"/>
      <w14:textFill>
        <w14:solidFill>
          <w14:schemeClr w14:val="hlink"/>
        </w14:solidFill>
      </w14:textFill>
    </w:rPr>
  </w:style>
  <w:style w:type="character" w:styleId="44">
    <w:name w:val="annotation reference"/>
    <w:basedOn w:val="40"/>
    <w:unhideWhenUsed/>
    <w:qFormat/>
    <w:uiPriority w:val="0"/>
    <w:rPr>
      <w:sz w:val="21"/>
      <w:szCs w:val="21"/>
    </w:rPr>
  </w:style>
  <w:style w:type="character" w:customStyle="1" w:styleId="45">
    <w:name w:val="页眉 Char"/>
    <w:basedOn w:val="40"/>
    <w:link w:val="28"/>
    <w:qFormat/>
    <w:uiPriority w:val="99"/>
    <w:rPr>
      <w:sz w:val="18"/>
      <w:szCs w:val="18"/>
    </w:rPr>
  </w:style>
  <w:style w:type="character" w:customStyle="1" w:styleId="46">
    <w:name w:val="页脚 Char"/>
    <w:basedOn w:val="40"/>
    <w:link w:val="27"/>
    <w:qFormat/>
    <w:uiPriority w:val="99"/>
    <w:rPr>
      <w:sz w:val="18"/>
      <w:szCs w:val="18"/>
    </w:rPr>
  </w:style>
  <w:style w:type="paragraph" w:customStyle="1" w:styleId="47">
    <w:name w:val="aSTL正文"/>
    <w:basedOn w:val="1"/>
    <w:link w:val="48"/>
    <w:qFormat/>
    <w:uiPriority w:val="0"/>
    <w:pPr>
      <w:spacing w:line="300" w:lineRule="auto"/>
      <w:ind w:firstLine="200" w:firstLineChars="200"/>
    </w:pPr>
    <w:rPr>
      <w:rFonts w:ascii="Calibri" w:hAnsi="Calibri" w:eastAsia="宋体" w:cs="Times New Roman"/>
      <w:kern w:val="0"/>
      <w:sz w:val="24"/>
      <w:szCs w:val="20"/>
      <w:lang w:val="zh-CN"/>
    </w:rPr>
  </w:style>
  <w:style w:type="character" w:customStyle="1" w:styleId="48">
    <w:name w:val="aSTL正文 Char"/>
    <w:link w:val="47"/>
    <w:qFormat/>
    <w:uiPriority w:val="0"/>
    <w:rPr>
      <w:rFonts w:ascii="Calibri" w:hAnsi="Calibri" w:eastAsia="宋体" w:cs="Times New Roman"/>
      <w:kern w:val="0"/>
      <w:sz w:val="24"/>
      <w:szCs w:val="20"/>
      <w:lang w:val="zh-CN" w:eastAsia="zh-CN"/>
    </w:rPr>
  </w:style>
  <w:style w:type="paragraph" w:customStyle="1" w:styleId="49">
    <w:name w:val="4.1.1.1.1"/>
    <w:basedOn w:val="1"/>
    <w:link w:val="50"/>
    <w:qFormat/>
    <w:uiPriority w:val="0"/>
    <w:pPr>
      <w:tabs>
        <w:tab w:val="left" w:pos="142"/>
      </w:tabs>
      <w:spacing w:beforeLines="50" w:afterLines="50"/>
      <w:ind w:left="200" w:leftChars="200"/>
      <w:jc w:val="left"/>
      <w:outlineLvl w:val="3"/>
    </w:pPr>
    <w:rPr>
      <w:rFonts w:ascii="宋体" w:hAnsi="宋体" w:eastAsia="宋体" w:cs="Times New Roman"/>
      <w:b/>
      <w:color w:val="000000"/>
      <w:kern w:val="0"/>
      <w:sz w:val="24"/>
      <w:szCs w:val="24"/>
      <w:lang w:val="zh-CN"/>
    </w:rPr>
  </w:style>
  <w:style w:type="character" w:customStyle="1" w:styleId="50">
    <w:name w:val="4.1.1.1.1 Char"/>
    <w:link w:val="49"/>
    <w:qFormat/>
    <w:uiPriority w:val="0"/>
    <w:rPr>
      <w:rFonts w:ascii="宋体" w:hAnsi="宋体" w:eastAsia="宋体" w:cs="Times New Roman"/>
      <w:b/>
      <w:color w:val="000000"/>
      <w:kern w:val="0"/>
      <w:sz w:val="24"/>
      <w:szCs w:val="24"/>
      <w:lang w:val="zh-CN" w:eastAsia="zh-CN"/>
    </w:rPr>
  </w:style>
  <w:style w:type="paragraph" w:styleId="51">
    <w:name w:val="List Paragraph"/>
    <w:basedOn w:val="1"/>
    <w:qFormat/>
    <w:uiPriority w:val="34"/>
    <w:pPr>
      <w:ind w:firstLine="420" w:firstLineChars="200"/>
    </w:pPr>
    <w:rPr>
      <w:rFonts w:ascii="Calibri" w:hAnsi="Calibri" w:eastAsia="宋体" w:cs="Times New Roman"/>
    </w:rPr>
  </w:style>
  <w:style w:type="character" w:customStyle="1" w:styleId="52">
    <w:name w:val="批注文字 Char"/>
    <w:basedOn w:val="40"/>
    <w:link w:val="15"/>
    <w:qFormat/>
    <w:uiPriority w:val="99"/>
  </w:style>
  <w:style w:type="character" w:customStyle="1" w:styleId="53">
    <w:name w:val="批注主题 Char"/>
    <w:basedOn w:val="52"/>
    <w:link w:val="37"/>
    <w:qFormat/>
    <w:uiPriority w:val="99"/>
    <w:rPr>
      <w:b/>
      <w:bCs/>
    </w:rPr>
  </w:style>
  <w:style w:type="character" w:customStyle="1" w:styleId="54">
    <w:name w:val="批注框文本 Char"/>
    <w:basedOn w:val="40"/>
    <w:link w:val="26"/>
    <w:qFormat/>
    <w:uiPriority w:val="99"/>
    <w:rPr>
      <w:sz w:val="18"/>
      <w:szCs w:val="18"/>
    </w:rPr>
  </w:style>
  <w:style w:type="character" w:customStyle="1" w:styleId="55">
    <w:name w:val="标题 1 Char"/>
    <w:basedOn w:val="40"/>
    <w:link w:val="2"/>
    <w:qFormat/>
    <w:uiPriority w:val="99"/>
    <w:rPr>
      <w:b/>
      <w:bCs/>
      <w:kern w:val="44"/>
      <w:sz w:val="44"/>
      <w:szCs w:val="44"/>
    </w:rPr>
  </w:style>
  <w:style w:type="paragraph" w:customStyle="1" w:styleId="5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标题 2 Char"/>
    <w:basedOn w:val="40"/>
    <w:link w:val="3"/>
    <w:qFormat/>
    <w:uiPriority w:val="0"/>
    <w:rPr>
      <w:rFonts w:asciiTheme="majorHAnsi" w:hAnsiTheme="majorHAnsi" w:eastAsiaTheme="majorEastAsia" w:cstheme="majorBidi"/>
      <w:b/>
      <w:bCs/>
      <w:sz w:val="32"/>
      <w:szCs w:val="32"/>
    </w:rPr>
  </w:style>
  <w:style w:type="character" w:customStyle="1" w:styleId="58">
    <w:name w:val="标题 3 Char"/>
    <w:basedOn w:val="40"/>
    <w:link w:val="4"/>
    <w:qFormat/>
    <w:uiPriority w:val="9"/>
    <w:rPr>
      <w:rFonts w:ascii="Calibri" w:hAnsi="Calibri" w:eastAsia="宋体" w:cs="Times New Roman"/>
      <w:b/>
      <w:bCs/>
      <w:szCs w:val="32"/>
    </w:rPr>
  </w:style>
  <w:style w:type="character" w:customStyle="1" w:styleId="59">
    <w:name w:val="标题 4 Char"/>
    <w:basedOn w:val="40"/>
    <w:link w:val="5"/>
    <w:qFormat/>
    <w:uiPriority w:val="9"/>
    <w:rPr>
      <w:rFonts w:ascii="Cambria" w:hAnsi="Cambria" w:eastAsia="宋体" w:cs="Times New Roman"/>
      <w:b/>
      <w:bCs/>
      <w:szCs w:val="28"/>
    </w:rPr>
  </w:style>
  <w:style w:type="character" w:customStyle="1" w:styleId="60">
    <w:name w:val="标题 5 Char"/>
    <w:basedOn w:val="40"/>
    <w:link w:val="6"/>
    <w:qFormat/>
    <w:uiPriority w:val="9"/>
    <w:rPr>
      <w:rFonts w:ascii="Calibri" w:hAnsi="Calibri" w:eastAsia="宋体" w:cs="Times New Roman"/>
      <w:b/>
      <w:bCs/>
      <w:szCs w:val="28"/>
    </w:rPr>
  </w:style>
  <w:style w:type="character" w:customStyle="1" w:styleId="61">
    <w:name w:val="标题 6 Char"/>
    <w:basedOn w:val="40"/>
    <w:link w:val="7"/>
    <w:qFormat/>
    <w:uiPriority w:val="9"/>
    <w:rPr>
      <w:rFonts w:eastAsia="宋体" w:asciiTheme="majorHAnsi" w:hAnsiTheme="majorHAnsi" w:cstheme="majorBidi"/>
      <w:b/>
      <w:bCs/>
      <w:kern w:val="0"/>
      <w:szCs w:val="24"/>
    </w:rPr>
  </w:style>
  <w:style w:type="character" w:customStyle="1" w:styleId="62">
    <w:name w:val="标题 7 Char"/>
    <w:basedOn w:val="40"/>
    <w:link w:val="8"/>
    <w:qFormat/>
    <w:uiPriority w:val="9"/>
    <w:rPr>
      <w:rFonts w:ascii="宋体" w:hAnsi="宋体" w:eastAsia="宋体" w:cs="宋体"/>
      <w:b/>
      <w:bCs/>
      <w:kern w:val="0"/>
      <w:sz w:val="24"/>
      <w:szCs w:val="24"/>
    </w:rPr>
  </w:style>
  <w:style w:type="character" w:customStyle="1" w:styleId="63">
    <w:name w:val="称呼 Char"/>
    <w:basedOn w:val="40"/>
    <w:link w:val="16"/>
    <w:qFormat/>
    <w:uiPriority w:val="99"/>
    <w:rPr>
      <w:rFonts w:ascii="Times New Roman" w:hAnsi="Times New Roman" w:eastAsia="宋体" w:cs="Times New Roman"/>
      <w:szCs w:val="21"/>
    </w:rPr>
  </w:style>
  <w:style w:type="character" w:customStyle="1" w:styleId="64">
    <w:name w:val="notnullcss1"/>
    <w:basedOn w:val="40"/>
    <w:qFormat/>
    <w:uiPriority w:val="99"/>
    <w:rPr>
      <w:rFonts w:eastAsia="宋体" w:cs="Times New Roman"/>
      <w:color w:val="FF0000"/>
      <w:kern w:val="2"/>
      <w:sz w:val="24"/>
      <w:szCs w:val="24"/>
      <w:lang w:val="en-US" w:eastAsia="zh-CN" w:bidi="ar-SA"/>
    </w:rPr>
  </w:style>
  <w:style w:type="paragraph" w:customStyle="1" w:styleId="65">
    <w:name w:val="xl61"/>
    <w:basedOn w:val="1"/>
    <w:qFormat/>
    <w:uiPriority w:val="99"/>
    <w:pPr>
      <w:widowControl/>
      <w:spacing w:before="100" w:after="100"/>
      <w:jc w:val="right"/>
    </w:pPr>
    <w:rPr>
      <w:rFonts w:ascii="Arial Unicode MS" w:hAnsi="Times New Roman" w:eastAsia="Arial Unicode MS" w:cs="Times New Roman"/>
      <w:kern w:val="0"/>
      <w:sz w:val="18"/>
      <w:szCs w:val="18"/>
    </w:rPr>
  </w:style>
  <w:style w:type="character" w:customStyle="1" w:styleId="66">
    <w:name w:val="纯文本 Char"/>
    <w:basedOn w:val="40"/>
    <w:link w:val="22"/>
    <w:qFormat/>
    <w:uiPriority w:val="0"/>
    <w:rPr>
      <w:rFonts w:ascii="宋体" w:hAnsi="Courier New" w:eastAsia="宋体" w:cs="Times New Roman"/>
      <w:szCs w:val="20"/>
    </w:rPr>
  </w:style>
  <w:style w:type="character" w:customStyle="1" w:styleId="67">
    <w:name w:val="headline-content2"/>
    <w:basedOn w:val="40"/>
    <w:qFormat/>
    <w:uiPriority w:val="0"/>
    <w:rPr>
      <w:rFonts w:eastAsia="宋体" w:cs="Times New Roman"/>
      <w:kern w:val="2"/>
      <w:sz w:val="24"/>
      <w:szCs w:val="24"/>
      <w:lang w:val="en-US" w:eastAsia="zh-CN" w:bidi="ar-SA"/>
    </w:rPr>
  </w:style>
  <w:style w:type="character" w:customStyle="1" w:styleId="68">
    <w:name w:val="正文文本 Char"/>
    <w:basedOn w:val="40"/>
    <w:link w:val="18"/>
    <w:qFormat/>
    <w:uiPriority w:val="99"/>
    <w:rPr>
      <w:rFonts w:ascii="Times New Roman" w:hAnsi="Times New Roman" w:eastAsia="宋体" w:cs="Times New Roman"/>
      <w:szCs w:val="21"/>
    </w:rPr>
  </w:style>
  <w:style w:type="paragraph" w:customStyle="1" w:styleId="69">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eastAsia="宋体" w:cs="Times New Roman"/>
      <w:kern w:val="0"/>
      <w:szCs w:val="24"/>
      <w:lang w:val="en-AU"/>
    </w:rPr>
  </w:style>
  <w:style w:type="character" w:customStyle="1" w:styleId="70">
    <w:name w:val="日期 Char"/>
    <w:basedOn w:val="40"/>
    <w:link w:val="24"/>
    <w:qFormat/>
    <w:uiPriority w:val="99"/>
    <w:rPr>
      <w:rFonts w:ascii="Times New Roman" w:hAnsi="Times New Roman" w:eastAsia="宋体" w:cs="Times New Roman"/>
      <w:szCs w:val="21"/>
    </w:rPr>
  </w:style>
  <w:style w:type="character" w:customStyle="1" w:styleId="71">
    <w:name w:val="注释标题 Char"/>
    <w:basedOn w:val="40"/>
    <w:link w:val="10"/>
    <w:qFormat/>
    <w:uiPriority w:val="99"/>
    <w:rPr>
      <w:rFonts w:ascii="Times New Roman" w:hAnsi="Times New Roman" w:eastAsia="宋体" w:cs="Times New Roman"/>
      <w:szCs w:val="21"/>
    </w:rPr>
  </w:style>
  <w:style w:type="paragraph" w:customStyle="1" w:styleId="72">
    <w:name w:val="标题5"/>
    <w:basedOn w:val="1"/>
    <w:qFormat/>
    <w:uiPriority w:val="0"/>
    <w:pPr>
      <w:keepNext/>
      <w:keepLines/>
      <w:spacing w:before="60" w:after="60"/>
      <w:ind w:hanging="420" w:hangingChars="200"/>
      <w:outlineLvl w:val="4"/>
    </w:pPr>
    <w:rPr>
      <w:rFonts w:ascii="宋体" w:hAnsi="宋体" w:eastAsia="宋体" w:cs="Times New Roman"/>
      <w:b/>
      <w:bCs/>
      <w:szCs w:val="21"/>
    </w:rPr>
  </w:style>
  <w:style w:type="paragraph" w:customStyle="1" w:styleId="73">
    <w:name w:val="修订1"/>
    <w:hidden/>
    <w:semiHidden/>
    <w:qFormat/>
    <w:uiPriority w:val="99"/>
    <w:rPr>
      <w:rFonts w:ascii="Calibri" w:hAnsi="Calibri" w:eastAsia="宋体" w:cs="Times New Roman"/>
      <w:kern w:val="2"/>
      <w:sz w:val="21"/>
      <w:szCs w:val="22"/>
      <w:lang w:val="en-US" w:eastAsia="zh-CN" w:bidi="ar-SA"/>
    </w:rPr>
  </w:style>
  <w:style w:type="character" w:customStyle="1" w:styleId="74">
    <w:name w:val="正文的样式 Char"/>
    <w:basedOn w:val="40"/>
    <w:link w:val="75"/>
    <w:qFormat/>
    <w:uiPriority w:val="0"/>
    <w:rPr>
      <w:szCs w:val="24"/>
    </w:rPr>
  </w:style>
  <w:style w:type="paragraph" w:customStyle="1" w:styleId="75">
    <w:name w:val="正文的样式"/>
    <w:basedOn w:val="1"/>
    <w:link w:val="74"/>
    <w:qFormat/>
    <w:uiPriority w:val="0"/>
    <w:pPr>
      <w:spacing w:before="100" w:after="100"/>
    </w:pPr>
    <w:rPr>
      <w:szCs w:val="24"/>
    </w:rPr>
  </w:style>
  <w:style w:type="character" w:customStyle="1" w:styleId="76">
    <w:name w:val="文档结构图 Char"/>
    <w:basedOn w:val="40"/>
    <w:link w:val="13"/>
    <w:semiHidden/>
    <w:qFormat/>
    <w:uiPriority w:val="99"/>
    <w:rPr>
      <w:rFonts w:ascii="宋体" w:hAnsi="Calibri" w:eastAsia="宋体" w:cs="Times New Roman"/>
      <w:sz w:val="18"/>
      <w:szCs w:val="18"/>
    </w:rPr>
  </w:style>
  <w:style w:type="character" w:styleId="77">
    <w:name w:val="Placeholder Text"/>
    <w:basedOn w:val="40"/>
    <w:semiHidden/>
    <w:qFormat/>
    <w:uiPriority w:val="99"/>
    <w:rPr>
      <w:color w:val="auto"/>
    </w:rPr>
  </w:style>
  <w:style w:type="character" w:customStyle="1" w:styleId="78">
    <w:name w:val="标题 Char"/>
    <w:basedOn w:val="40"/>
    <w:link w:val="36"/>
    <w:qFormat/>
    <w:uiPriority w:val="0"/>
    <w:rPr>
      <w:rFonts w:eastAsia="宋体" w:asciiTheme="majorHAnsi" w:hAnsiTheme="majorHAnsi" w:cstheme="majorBidi"/>
      <w:b/>
      <w:bCs/>
      <w:sz w:val="32"/>
      <w:szCs w:val="3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0">
    <w:name w:val="尾注文本 Char"/>
    <w:basedOn w:val="40"/>
    <w:link w:val="25"/>
    <w:semiHidden/>
    <w:qFormat/>
    <w:uiPriority w:val="99"/>
    <w:rPr>
      <w:rFonts w:ascii="宋体" w:hAnsi="宋体" w:eastAsia="宋体" w:cs="宋体"/>
      <w:kern w:val="0"/>
      <w:szCs w:val="24"/>
    </w:rPr>
  </w:style>
  <w:style w:type="character" w:customStyle="1" w:styleId="81">
    <w:name w:val="批注主题 Char1"/>
    <w:basedOn w:val="52"/>
    <w:semiHidden/>
    <w:qFormat/>
    <w:uiPriority w:val="99"/>
    <w:rPr>
      <w:rFonts w:ascii="Times New Roman" w:hAnsi="Times New Roman" w:eastAsia="宋体" w:cs="Times New Roman"/>
      <w:b/>
      <w:bCs/>
      <w:szCs w:val="21"/>
    </w:rPr>
  </w:style>
  <w:style w:type="character" w:customStyle="1" w:styleId="82">
    <w:name w:val="span_"/>
    <w:basedOn w:val="40"/>
    <w:qFormat/>
    <w:uiPriority w:val="0"/>
  </w:style>
  <w:style w:type="paragraph" w:customStyle="1" w:styleId="83">
    <w:name w:val="标题  3"/>
    <w:basedOn w:val="1"/>
    <w:next w:val="1"/>
    <w:link w:val="84"/>
    <w:qFormat/>
    <w:uiPriority w:val="0"/>
    <w:pPr>
      <w:keepNext/>
      <w:keepLines/>
      <w:spacing w:before="100" w:beforeAutospacing="1" w:after="100" w:afterAutospacing="1" w:line="415" w:lineRule="auto"/>
    </w:pPr>
    <w:rPr>
      <w:rFonts w:ascii="Times New Roman" w:hAnsi="Times New Roman" w:eastAsia="宋体" w:cs="Times New Roman"/>
      <w:b/>
      <w:szCs w:val="24"/>
    </w:rPr>
  </w:style>
  <w:style w:type="character" w:customStyle="1" w:styleId="84">
    <w:name w:val="标题  3 Char"/>
    <w:basedOn w:val="40"/>
    <w:link w:val="83"/>
    <w:qFormat/>
    <w:uiPriority w:val="0"/>
    <w:rPr>
      <w:rFonts w:ascii="Times New Roman" w:hAnsi="Times New Roman" w:eastAsia="宋体" w:cs="Times New Roman"/>
      <w:b/>
      <w:szCs w:val="24"/>
    </w:rPr>
  </w:style>
  <w:style w:type="paragraph" w:customStyle="1" w:styleId="85">
    <w:name w:val="列出段落1"/>
    <w:basedOn w:val="1"/>
    <w:qFormat/>
    <w:uiPriority w:val="0"/>
    <w:pPr>
      <w:ind w:firstLine="420" w:firstLineChars="200"/>
    </w:pPr>
    <w:rPr>
      <w:rFonts w:ascii="Calibri" w:hAnsi="Calibri" w:eastAsia="宋体" w:cs="Calibri"/>
      <w:szCs w:val="21"/>
    </w:rPr>
  </w:style>
  <w:style w:type="paragraph" w:customStyle="1" w:styleId="86">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paragraph" w:customStyle="1" w:styleId="8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table" w:customStyle="1" w:styleId="8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89">
    <w:name w:val="Table Paragraph"/>
    <w:basedOn w:val="1"/>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90">
    <w:name w:val="前言标题"/>
    <w:basedOn w:val="3"/>
    <w:link w:val="92"/>
    <w:qFormat/>
    <w:uiPriority w:val="0"/>
    <w:pPr>
      <w:spacing w:before="0" w:after="0" w:line="566" w:lineRule="auto"/>
      <w:jc w:val="left"/>
      <w:outlineLvl w:val="9"/>
    </w:pPr>
    <w:rPr>
      <w:rFonts w:ascii="Times New Roman" w:hAnsi="Times New Roman" w:eastAsia="黑体" w:cs="Times New Roman"/>
      <w:b w:val="0"/>
      <w:sz w:val="21"/>
    </w:rPr>
  </w:style>
  <w:style w:type="paragraph" w:customStyle="1" w:styleId="91">
    <w:name w:val="前言大标题"/>
    <w:basedOn w:val="2"/>
    <w:link w:val="93"/>
    <w:qFormat/>
    <w:uiPriority w:val="0"/>
    <w:pPr>
      <w:spacing w:before="0" w:after="680" w:line="283" w:lineRule="auto"/>
      <w:ind w:firstLine="200" w:firstLineChars="200"/>
      <w:jc w:val="center"/>
      <w:outlineLvl w:val="9"/>
    </w:pPr>
    <w:rPr>
      <w:rFonts w:ascii="Times New Roman" w:hAnsi="Times New Roman" w:eastAsia="黑体" w:cs="Times New Roman"/>
      <w:b w:val="0"/>
      <w:sz w:val="32"/>
    </w:rPr>
  </w:style>
  <w:style w:type="character" w:customStyle="1" w:styleId="92">
    <w:name w:val="前言标题 Char"/>
    <w:basedOn w:val="40"/>
    <w:link w:val="90"/>
    <w:qFormat/>
    <w:uiPriority w:val="0"/>
    <w:rPr>
      <w:rFonts w:eastAsia="黑体"/>
      <w:bCs/>
      <w:kern w:val="2"/>
      <w:sz w:val="21"/>
      <w:szCs w:val="32"/>
    </w:rPr>
  </w:style>
  <w:style w:type="character" w:customStyle="1" w:styleId="93">
    <w:name w:val="前言大标题 Char"/>
    <w:link w:val="91"/>
    <w:qFormat/>
    <w:uiPriority w:val="0"/>
    <w:rPr>
      <w:rFonts w:eastAsia="黑体"/>
      <w:bCs/>
      <w:kern w:val="44"/>
      <w:sz w:val="32"/>
      <w:szCs w:val="44"/>
    </w:rPr>
  </w:style>
  <w:style w:type="paragraph" w:customStyle="1" w:styleId="94">
    <w:name w:val="表格第一行"/>
    <w:basedOn w:val="1"/>
    <w:qFormat/>
    <w:uiPriority w:val="0"/>
    <w:pPr>
      <w:spacing w:line="240" w:lineRule="auto"/>
      <w:ind w:firstLine="0" w:firstLineChars="0"/>
      <w:jc w:val="center"/>
    </w:pPr>
    <w:rPr>
      <w:rFonts w:ascii="宋体" w:hAnsi="宋体" w:cs="宋体"/>
      <w:b/>
      <w:bCs/>
      <w:color w:val="FFFFFF"/>
      <w:sz w:val="21"/>
      <w:szCs w:val="21"/>
    </w:rPr>
  </w:style>
  <w:style w:type="paragraph" w:customStyle="1" w:styleId="95">
    <w:name w:val="表内"/>
    <w:basedOn w:val="3"/>
    <w:qFormat/>
    <w:uiPriority w:val="0"/>
    <w:pPr>
      <w:spacing w:line="240" w:lineRule="auto"/>
      <w:jc w:val="center"/>
    </w:pPr>
    <w:rPr>
      <w:rFonts w:eastAsia="宋体" w:cs="宋体"/>
      <w:b w:val="0"/>
      <w:bCs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ataSourceCollection xmlns="http://www.yonyou.com/datasource"/>
</file>

<file path=customXml/itemProps1.xml><?xml version="1.0" encoding="utf-8"?>
<ds:datastoreItem xmlns:ds="http://schemas.openxmlformats.org/officeDocument/2006/customXml" ds:itemID="{C5D7E463-A10F-494B-AAC3-043C8AA8F383}">
  <ds:schemaRefs/>
</ds:datastoreItem>
</file>

<file path=customXml/itemProps2.xml><?xml version="1.0" encoding="utf-8"?>
<ds:datastoreItem xmlns:ds="http://schemas.openxmlformats.org/officeDocument/2006/customXml" ds:itemID="{27DD6D51-58E5-4C91-B802-1A232FDF5948}">
  <ds:schemaRefs/>
</ds:datastoreItem>
</file>

<file path=customXml/itemProps3.xml><?xml version="1.0" encoding="utf-8"?>
<ds:datastoreItem xmlns:ds="http://schemas.openxmlformats.org/officeDocument/2006/customXml" ds:itemID="{6BC0C85B-024C-49A1-89CA-1A1A3B0F41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6226</Words>
  <Characters>6366</Characters>
  <Lines>45</Lines>
  <Paragraphs>12</Paragraphs>
  <TotalTime>31</TotalTime>
  <ScaleCrop>false</ScaleCrop>
  <LinksUpToDate>false</LinksUpToDate>
  <CharactersWithSpaces>6380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2016-05-21T03:42:00Z</dcterms:created>
  <dc:creator>Meng Tang</dc:creator>
  <cp:lastModifiedBy>    奋斗</cp:lastModifiedBy>
  <dcterms:modified xsi:type="dcterms:W3CDTF">2023-12-20T00:28:55Z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58DAF09D368343C892361F16E2474AF6</vt:lpwstr>
  </property>
</Properties>
</file>